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AFF601" w14:textId="77777777" w:rsidR="00887D4E" w:rsidRPr="00696F2A" w:rsidRDefault="002F1C41" w:rsidP="000158AF">
      <w:pPr>
        <w:rPr>
          <w:rFonts w:ascii="Arial" w:hAnsi="Arial" w:cs="Arial"/>
          <w:sz w:val="20"/>
          <w:szCs w:val="20"/>
        </w:rPr>
      </w:pPr>
      <w:r w:rsidRPr="00696F2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17EB4C" wp14:editId="20AA987B">
            <wp:extent cx="5943600" cy="6942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6BFD" w14:textId="79E99AA0" w:rsidR="004A57B8" w:rsidRPr="00696F2A" w:rsidRDefault="000158AF" w:rsidP="000158AF">
      <w:pPr>
        <w:rPr>
          <w:rFonts w:ascii="Arial" w:hAnsi="Arial" w:cs="Arial"/>
          <w:color w:val="000000" w:themeColor="text1"/>
          <w:sz w:val="20"/>
          <w:szCs w:val="20"/>
        </w:rPr>
      </w:pPr>
      <w:r w:rsidRPr="00696F2A">
        <w:rPr>
          <w:rFonts w:ascii="Arial" w:hAnsi="Arial" w:cs="Arial"/>
          <w:b/>
          <w:sz w:val="20"/>
          <w:szCs w:val="20"/>
        </w:rPr>
        <w:t>Fig</w:t>
      </w:r>
      <w:r w:rsidR="00B57C30" w:rsidRPr="00696F2A">
        <w:rPr>
          <w:rFonts w:ascii="Arial" w:hAnsi="Arial" w:cs="Arial"/>
          <w:b/>
          <w:sz w:val="20"/>
          <w:szCs w:val="20"/>
        </w:rPr>
        <w:t>.</w:t>
      </w:r>
      <w:r w:rsidRPr="00696F2A">
        <w:rPr>
          <w:rFonts w:ascii="Arial" w:hAnsi="Arial" w:cs="Arial"/>
          <w:b/>
          <w:sz w:val="20"/>
          <w:szCs w:val="20"/>
        </w:rPr>
        <w:t xml:space="preserve"> S1. Pre-</w:t>
      </w:r>
      <w:proofErr w:type="spellStart"/>
      <w:r w:rsidRPr="00696F2A">
        <w:rPr>
          <w:rFonts w:ascii="Arial" w:hAnsi="Arial" w:cs="Arial"/>
          <w:b/>
          <w:sz w:val="20"/>
          <w:szCs w:val="20"/>
        </w:rPr>
        <w:t>tDCS</w:t>
      </w:r>
      <w:proofErr w:type="spellEnd"/>
      <w:r w:rsidRPr="00696F2A">
        <w:rPr>
          <w:rFonts w:ascii="Arial" w:hAnsi="Arial" w:cs="Arial"/>
          <w:b/>
          <w:sz w:val="20"/>
          <w:szCs w:val="20"/>
        </w:rPr>
        <w:t xml:space="preserve"> data </w:t>
      </w:r>
      <w:r w:rsidR="006649AD">
        <w:rPr>
          <w:rFonts w:ascii="Arial" w:hAnsi="Arial" w:cs="Arial"/>
          <w:b/>
          <w:sz w:val="20"/>
          <w:szCs w:val="20"/>
        </w:rPr>
        <w:t>(</w:t>
      </w:r>
      <w:r w:rsidRPr="00696F2A">
        <w:rPr>
          <w:rFonts w:ascii="Arial" w:hAnsi="Arial" w:cs="Arial"/>
          <w:b/>
          <w:sz w:val="20"/>
          <w:szCs w:val="20"/>
        </w:rPr>
        <w:t>for face-vase trials</w:t>
      </w:r>
      <w:r w:rsidR="006649AD">
        <w:rPr>
          <w:rFonts w:ascii="Arial" w:hAnsi="Arial" w:cs="Arial"/>
          <w:b/>
          <w:sz w:val="20"/>
          <w:szCs w:val="20"/>
        </w:rPr>
        <w:t>)</w:t>
      </w:r>
      <w:r w:rsidRPr="00696F2A">
        <w:rPr>
          <w:rFonts w:ascii="Arial" w:hAnsi="Arial" w:cs="Arial"/>
          <w:b/>
          <w:sz w:val="20"/>
          <w:szCs w:val="20"/>
        </w:rPr>
        <w:t xml:space="preserve"> and reversal rates compared to continuous-viewing</w:t>
      </w:r>
      <w:r w:rsidR="00CD25C9" w:rsidRPr="00696F2A">
        <w:rPr>
          <w:rFonts w:ascii="Arial" w:hAnsi="Arial" w:cs="Arial"/>
          <w:b/>
          <w:sz w:val="20"/>
          <w:szCs w:val="20"/>
        </w:rPr>
        <w:t xml:space="preserve"> (</w:t>
      </w:r>
      <w:r w:rsidR="00D506AF" w:rsidRPr="00696F2A">
        <w:rPr>
          <w:rFonts w:ascii="Arial" w:hAnsi="Arial" w:cs="Arial"/>
          <w:b/>
          <w:sz w:val="20"/>
          <w:szCs w:val="20"/>
        </w:rPr>
        <w:t xml:space="preserve">for </w:t>
      </w:r>
      <w:r w:rsidR="00CD25C9" w:rsidRPr="00696F2A">
        <w:rPr>
          <w:rFonts w:ascii="Arial" w:hAnsi="Arial" w:cs="Arial"/>
          <w:b/>
          <w:sz w:val="20"/>
          <w:szCs w:val="20"/>
        </w:rPr>
        <w:t>both images)</w:t>
      </w:r>
      <w:r w:rsidRPr="00696F2A">
        <w:rPr>
          <w:rFonts w:ascii="Arial" w:hAnsi="Arial" w:cs="Arial"/>
          <w:b/>
          <w:sz w:val="20"/>
          <w:szCs w:val="20"/>
        </w:rPr>
        <w:t>. (A)</w:t>
      </w:r>
      <w:r w:rsidRPr="00696F2A">
        <w:rPr>
          <w:rFonts w:ascii="Arial" w:hAnsi="Arial" w:cs="Arial"/>
          <w:sz w:val="20"/>
          <w:szCs w:val="20"/>
        </w:rPr>
        <w:t xml:space="preserve"> Behavioral data across subjects for face-vase trials in the pre-</w:t>
      </w:r>
      <w:proofErr w:type="spellStart"/>
      <w:r w:rsidRPr="00696F2A">
        <w:rPr>
          <w:rFonts w:ascii="Arial" w:hAnsi="Arial" w:cs="Arial"/>
          <w:sz w:val="20"/>
          <w:szCs w:val="20"/>
        </w:rPr>
        <w:t>tDCS</w:t>
      </w:r>
      <w:proofErr w:type="spellEnd"/>
      <w:r w:rsidRPr="00696F2A">
        <w:rPr>
          <w:rFonts w:ascii="Arial" w:hAnsi="Arial" w:cs="Arial"/>
          <w:sz w:val="20"/>
          <w:szCs w:val="20"/>
        </w:rPr>
        <w:t xml:space="preserve"> task. Dotted line for intermittent-viewing data (</w:t>
      </w:r>
      <w:r w:rsidRPr="00696F2A">
        <w:rPr>
          <w:rFonts w:ascii="Arial" w:hAnsi="Arial" w:cs="Arial"/>
          <w:i/>
          <w:sz w:val="20"/>
          <w:szCs w:val="20"/>
        </w:rPr>
        <w:t>Right</w:t>
      </w:r>
      <w:r w:rsidRPr="00696F2A">
        <w:rPr>
          <w:rFonts w:ascii="Arial" w:hAnsi="Arial" w:cs="Arial"/>
          <w:sz w:val="20"/>
          <w:szCs w:val="20"/>
        </w:rPr>
        <w:t xml:space="preserve">) indicates 0.5 probability of reversal. </w:t>
      </w:r>
      <w:r w:rsidRPr="00696F2A">
        <w:rPr>
          <w:rFonts w:ascii="Arial" w:hAnsi="Arial" w:cs="Arial"/>
          <w:b/>
          <w:sz w:val="20"/>
          <w:szCs w:val="20"/>
        </w:rPr>
        <w:t>(B)</w:t>
      </w:r>
      <w:r w:rsidRPr="00696F2A">
        <w:rPr>
          <w:rFonts w:ascii="Arial" w:hAnsi="Arial" w:cs="Arial"/>
          <w:sz w:val="20"/>
          <w:szCs w:val="20"/>
        </w:rPr>
        <w:t xml:space="preserve"> Raw reversal rates (i.e. number of switch</w:t>
      </w:r>
      <w:r w:rsidR="00E74E6A" w:rsidRPr="00696F2A">
        <w:rPr>
          <w:rFonts w:ascii="Arial" w:hAnsi="Arial" w:cs="Arial"/>
          <w:sz w:val="20"/>
          <w:szCs w:val="20"/>
        </w:rPr>
        <w:t>es/60 sec</w:t>
      </w:r>
      <w:r w:rsidR="002F1C41" w:rsidRPr="00696F2A">
        <w:rPr>
          <w:rFonts w:ascii="Arial" w:hAnsi="Arial" w:cs="Arial"/>
          <w:sz w:val="20"/>
          <w:szCs w:val="20"/>
        </w:rPr>
        <w:t xml:space="preserve"> in intermittent-viewing condition</w:t>
      </w:r>
      <w:r w:rsidR="00E74E6A" w:rsidRPr="00696F2A">
        <w:rPr>
          <w:rFonts w:ascii="Arial" w:hAnsi="Arial" w:cs="Arial"/>
          <w:sz w:val="20"/>
          <w:szCs w:val="20"/>
        </w:rPr>
        <w:t>) after subtracting</w:t>
      </w:r>
      <w:r w:rsidRPr="00696F2A">
        <w:rPr>
          <w:rFonts w:ascii="Arial" w:hAnsi="Arial" w:cs="Arial"/>
          <w:sz w:val="20"/>
          <w:szCs w:val="20"/>
        </w:rPr>
        <w:t xml:space="preserve"> switch rate in the continuous-viewing condition (calculated separately for each subject). </w:t>
      </w:r>
    </w:p>
    <w:p w14:paraId="3BA4AAC4" w14:textId="77777777" w:rsidR="000158AF" w:rsidRPr="00696F2A" w:rsidRDefault="00887D4E" w:rsidP="00696F2A">
      <w:pPr>
        <w:jc w:val="center"/>
        <w:rPr>
          <w:rFonts w:ascii="Arial" w:hAnsi="Arial" w:cs="Arial"/>
          <w:sz w:val="20"/>
          <w:szCs w:val="20"/>
        </w:rPr>
      </w:pPr>
      <w:r w:rsidRPr="00696F2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BA8604E" wp14:editId="36201D46">
            <wp:extent cx="5220487" cy="6647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0867" cy="664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0396" w14:textId="77777777" w:rsidR="000158AF" w:rsidRPr="00696F2A" w:rsidRDefault="000158AF" w:rsidP="000158AF">
      <w:pPr>
        <w:rPr>
          <w:rFonts w:ascii="Arial" w:hAnsi="Arial" w:cs="Arial"/>
          <w:sz w:val="20"/>
          <w:szCs w:val="20"/>
        </w:rPr>
      </w:pPr>
      <w:r w:rsidRPr="00696F2A">
        <w:rPr>
          <w:rFonts w:ascii="Arial" w:hAnsi="Arial" w:cs="Arial"/>
          <w:b/>
          <w:sz w:val="20"/>
          <w:szCs w:val="20"/>
        </w:rPr>
        <w:t>Fig</w:t>
      </w:r>
      <w:r w:rsidR="00B57C30" w:rsidRPr="00696F2A">
        <w:rPr>
          <w:rFonts w:ascii="Arial" w:hAnsi="Arial" w:cs="Arial"/>
          <w:b/>
          <w:sz w:val="20"/>
          <w:szCs w:val="20"/>
        </w:rPr>
        <w:t>.</w:t>
      </w:r>
      <w:r w:rsidRPr="00696F2A">
        <w:rPr>
          <w:rFonts w:ascii="Arial" w:hAnsi="Arial" w:cs="Arial"/>
          <w:b/>
          <w:sz w:val="20"/>
          <w:szCs w:val="20"/>
        </w:rPr>
        <w:t xml:space="preserve"> S2. Face-vase trials: comparing </w:t>
      </w:r>
      <w:proofErr w:type="spellStart"/>
      <w:r w:rsidRPr="00696F2A">
        <w:rPr>
          <w:rFonts w:ascii="Arial" w:hAnsi="Arial" w:cs="Arial"/>
          <w:b/>
          <w:sz w:val="20"/>
          <w:szCs w:val="20"/>
        </w:rPr>
        <w:t>tDCS</w:t>
      </w:r>
      <w:proofErr w:type="spellEnd"/>
      <w:r w:rsidRPr="00696F2A">
        <w:rPr>
          <w:rFonts w:ascii="Arial" w:hAnsi="Arial" w:cs="Arial"/>
          <w:b/>
          <w:sz w:val="20"/>
          <w:szCs w:val="20"/>
        </w:rPr>
        <w:t xml:space="preserve"> conditions. (A)</w:t>
      </w:r>
      <w:r w:rsidRPr="00696F2A">
        <w:rPr>
          <w:rFonts w:ascii="Arial" w:hAnsi="Arial" w:cs="Arial"/>
          <w:sz w:val="20"/>
          <w:szCs w:val="20"/>
        </w:rPr>
        <w:t xml:space="preserve"> Violin plots show %changes in behavioral measures from pre-</w:t>
      </w:r>
      <w:proofErr w:type="spellStart"/>
      <w:r w:rsidRPr="00696F2A">
        <w:rPr>
          <w:rFonts w:ascii="Arial" w:hAnsi="Arial" w:cs="Arial"/>
          <w:sz w:val="20"/>
          <w:szCs w:val="20"/>
        </w:rPr>
        <w:t>tDCS</w:t>
      </w:r>
      <w:proofErr w:type="spellEnd"/>
      <w:r w:rsidRPr="00696F2A">
        <w:rPr>
          <w:rFonts w:ascii="Arial" w:hAnsi="Arial" w:cs="Arial"/>
          <w:sz w:val="20"/>
          <w:szCs w:val="20"/>
        </w:rPr>
        <w:t xml:space="preserve"> task to post-</w:t>
      </w:r>
      <w:proofErr w:type="spellStart"/>
      <w:r w:rsidRPr="00696F2A">
        <w:rPr>
          <w:rFonts w:ascii="Arial" w:hAnsi="Arial" w:cs="Arial"/>
          <w:sz w:val="20"/>
          <w:szCs w:val="20"/>
        </w:rPr>
        <w:t>tDCS</w:t>
      </w:r>
      <w:proofErr w:type="spellEnd"/>
      <w:r w:rsidRPr="00696F2A">
        <w:rPr>
          <w:rFonts w:ascii="Arial" w:hAnsi="Arial" w:cs="Arial"/>
          <w:sz w:val="20"/>
          <w:szCs w:val="20"/>
        </w:rPr>
        <w:t xml:space="preserve"> task for face-vase trials. In the continuous-viewing condition (</w:t>
      </w:r>
      <w:r w:rsidRPr="00696F2A">
        <w:rPr>
          <w:rFonts w:ascii="Arial" w:hAnsi="Arial" w:cs="Arial"/>
          <w:i/>
          <w:sz w:val="20"/>
          <w:szCs w:val="20"/>
        </w:rPr>
        <w:t>Left</w:t>
      </w:r>
      <w:r w:rsidRPr="00696F2A">
        <w:rPr>
          <w:rFonts w:ascii="Arial" w:hAnsi="Arial" w:cs="Arial"/>
          <w:sz w:val="20"/>
          <w:szCs w:val="20"/>
        </w:rPr>
        <w:t xml:space="preserve">), percept durations did not differ significantly between </w:t>
      </w:r>
      <w:proofErr w:type="spellStart"/>
      <w:r w:rsidRPr="00696F2A">
        <w:rPr>
          <w:rFonts w:ascii="Arial" w:hAnsi="Arial" w:cs="Arial"/>
          <w:sz w:val="20"/>
          <w:szCs w:val="20"/>
        </w:rPr>
        <w:t>tDCS</w:t>
      </w:r>
      <w:proofErr w:type="spellEnd"/>
      <w:r w:rsidRPr="00696F2A">
        <w:rPr>
          <w:rFonts w:ascii="Arial" w:hAnsi="Arial" w:cs="Arial"/>
          <w:sz w:val="20"/>
          <w:szCs w:val="20"/>
        </w:rPr>
        <w:t xml:space="preserve"> conditions</w:t>
      </w:r>
      <w:r w:rsidR="00986123" w:rsidRPr="00696F2A">
        <w:rPr>
          <w:rFonts w:ascii="Arial" w:hAnsi="Arial" w:cs="Arial"/>
          <w:sz w:val="20"/>
          <w:szCs w:val="20"/>
        </w:rPr>
        <w:t xml:space="preserve"> (repeated-measures ANOVA, F</w:t>
      </w:r>
      <w:r w:rsidR="00986123" w:rsidRPr="00696F2A">
        <w:rPr>
          <w:rFonts w:ascii="Arial" w:hAnsi="Arial" w:cs="Arial"/>
          <w:sz w:val="20"/>
          <w:szCs w:val="20"/>
          <w:vertAlign w:val="subscript"/>
        </w:rPr>
        <w:t>2, 44</w:t>
      </w:r>
      <w:r w:rsidRPr="00696F2A">
        <w:rPr>
          <w:rFonts w:ascii="Arial" w:hAnsi="Arial" w:cs="Arial"/>
          <w:sz w:val="20"/>
          <w:szCs w:val="20"/>
        </w:rPr>
        <w:t xml:space="preserve"> = 1.062, </w:t>
      </w:r>
      <w:r w:rsidRPr="00696F2A">
        <w:rPr>
          <w:rFonts w:ascii="Arial" w:hAnsi="Arial" w:cs="Arial"/>
          <w:i/>
          <w:sz w:val="20"/>
          <w:szCs w:val="20"/>
        </w:rPr>
        <w:t>p</w:t>
      </w:r>
      <w:r w:rsidRPr="00696F2A">
        <w:rPr>
          <w:rFonts w:ascii="Arial" w:hAnsi="Arial" w:cs="Arial"/>
          <w:sz w:val="20"/>
          <w:szCs w:val="20"/>
        </w:rPr>
        <w:t xml:space="preserve"> = 0.354). In the intermittent-viewing condition (</w:t>
      </w:r>
      <w:r w:rsidRPr="00696F2A">
        <w:rPr>
          <w:rFonts w:ascii="Arial" w:hAnsi="Arial" w:cs="Arial"/>
          <w:i/>
          <w:sz w:val="20"/>
          <w:szCs w:val="20"/>
        </w:rPr>
        <w:t>Right</w:t>
      </w:r>
      <w:r w:rsidRPr="00696F2A">
        <w:rPr>
          <w:rFonts w:ascii="Arial" w:hAnsi="Arial" w:cs="Arial"/>
          <w:sz w:val="20"/>
          <w:szCs w:val="20"/>
        </w:rPr>
        <w:t>), pr</w:t>
      </w:r>
      <w:bookmarkStart w:id="0" w:name="_GoBack"/>
      <w:bookmarkEnd w:id="0"/>
      <w:r w:rsidRPr="00696F2A">
        <w:rPr>
          <w:rFonts w:ascii="Arial" w:hAnsi="Arial" w:cs="Arial"/>
          <w:sz w:val="20"/>
          <w:szCs w:val="20"/>
        </w:rPr>
        <w:t xml:space="preserve">obability of reversal did not differ significantly between conditions </w:t>
      </w:r>
      <w:r w:rsidR="004A57B8" w:rsidRPr="00696F2A">
        <w:rPr>
          <w:rFonts w:ascii="Arial" w:hAnsi="Arial" w:cs="Arial"/>
          <w:sz w:val="20"/>
          <w:szCs w:val="20"/>
        </w:rPr>
        <w:t>(3x3 repeated-measures ANOVA, F</w:t>
      </w:r>
      <w:r w:rsidR="004A57B8" w:rsidRPr="00696F2A">
        <w:rPr>
          <w:rFonts w:ascii="Arial" w:hAnsi="Arial" w:cs="Arial"/>
          <w:sz w:val="20"/>
          <w:szCs w:val="20"/>
          <w:vertAlign w:val="subscript"/>
        </w:rPr>
        <w:t>2, 42</w:t>
      </w:r>
      <w:r w:rsidRPr="00696F2A">
        <w:rPr>
          <w:rFonts w:ascii="Arial" w:hAnsi="Arial" w:cs="Arial"/>
          <w:sz w:val="20"/>
          <w:szCs w:val="20"/>
        </w:rPr>
        <w:t xml:space="preserve"> = 0.776, </w:t>
      </w:r>
      <w:r w:rsidRPr="00696F2A">
        <w:rPr>
          <w:rFonts w:ascii="Arial" w:hAnsi="Arial" w:cs="Arial"/>
          <w:i/>
          <w:sz w:val="20"/>
          <w:szCs w:val="20"/>
        </w:rPr>
        <w:t>p</w:t>
      </w:r>
      <w:r w:rsidRPr="00696F2A">
        <w:rPr>
          <w:rFonts w:ascii="Arial" w:hAnsi="Arial" w:cs="Arial"/>
          <w:sz w:val="20"/>
          <w:szCs w:val="20"/>
        </w:rPr>
        <w:t xml:space="preserve"> = 0.467). </w:t>
      </w:r>
      <w:r w:rsidRPr="00696F2A">
        <w:rPr>
          <w:rFonts w:ascii="Arial" w:hAnsi="Arial" w:cs="Arial"/>
          <w:b/>
          <w:sz w:val="20"/>
          <w:szCs w:val="20"/>
        </w:rPr>
        <w:t>(B)</w:t>
      </w:r>
      <w:r w:rsidRPr="00696F2A">
        <w:rPr>
          <w:rFonts w:ascii="Arial" w:hAnsi="Arial" w:cs="Arial"/>
          <w:sz w:val="20"/>
          <w:szCs w:val="20"/>
        </w:rPr>
        <w:t xml:space="preserve"> Topo-plots show mean amplitudes for each frequency band (</w:t>
      </w:r>
      <w:r w:rsidRPr="00696F2A">
        <w:rPr>
          <w:rFonts w:ascii="Arial" w:hAnsi="Arial" w:cs="Arial"/>
          <w:i/>
          <w:sz w:val="20"/>
          <w:szCs w:val="20"/>
        </w:rPr>
        <w:t>Rows</w:t>
      </w:r>
      <w:r w:rsidRPr="00696F2A">
        <w:rPr>
          <w:rFonts w:ascii="Arial" w:hAnsi="Arial" w:cs="Arial"/>
          <w:sz w:val="20"/>
          <w:szCs w:val="20"/>
        </w:rPr>
        <w:t>) during continuous-viewing (</w:t>
      </w:r>
      <w:r w:rsidRPr="00696F2A">
        <w:rPr>
          <w:rFonts w:ascii="Arial" w:hAnsi="Arial" w:cs="Arial"/>
          <w:i/>
          <w:sz w:val="20"/>
          <w:szCs w:val="20"/>
        </w:rPr>
        <w:t>Left</w:t>
      </w:r>
      <w:r w:rsidRPr="00696F2A">
        <w:rPr>
          <w:rFonts w:ascii="Arial" w:hAnsi="Arial" w:cs="Arial"/>
          <w:sz w:val="20"/>
          <w:szCs w:val="20"/>
        </w:rPr>
        <w:t xml:space="preserve">, </w:t>
      </w:r>
      <w:r w:rsidRPr="001E2BCB">
        <w:rPr>
          <w:rFonts w:ascii="Arial" w:hAnsi="Arial" w:cs="Arial"/>
          <w:i/>
          <w:sz w:val="20"/>
          <w:szCs w:val="20"/>
        </w:rPr>
        <w:t>N</w:t>
      </w:r>
      <w:r w:rsidRPr="00696F2A">
        <w:rPr>
          <w:rFonts w:ascii="Arial" w:hAnsi="Arial" w:cs="Arial"/>
          <w:sz w:val="20"/>
          <w:szCs w:val="20"/>
        </w:rPr>
        <w:t xml:space="preserve"> = 23) and in the 570-ms-blank trials of</w:t>
      </w:r>
      <w:r w:rsidR="00F74B4A" w:rsidRPr="00696F2A">
        <w:rPr>
          <w:rFonts w:ascii="Arial" w:hAnsi="Arial" w:cs="Arial"/>
          <w:sz w:val="20"/>
          <w:szCs w:val="20"/>
        </w:rPr>
        <w:t xml:space="preserve"> the</w:t>
      </w:r>
      <w:r w:rsidRPr="00696F2A">
        <w:rPr>
          <w:rFonts w:ascii="Arial" w:hAnsi="Arial" w:cs="Arial"/>
          <w:sz w:val="20"/>
          <w:szCs w:val="20"/>
        </w:rPr>
        <w:t xml:space="preserve"> intermittent-viewing condition (</w:t>
      </w:r>
      <w:r w:rsidRPr="00696F2A">
        <w:rPr>
          <w:rFonts w:ascii="Arial" w:hAnsi="Arial" w:cs="Arial"/>
          <w:i/>
          <w:sz w:val="20"/>
          <w:szCs w:val="20"/>
        </w:rPr>
        <w:t>Right</w:t>
      </w:r>
      <w:r w:rsidRPr="00696F2A">
        <w:rPr>
          <w:rFonts w:ascii="Arial" w:hAnsi="Arial" w:cs="Arial"/>
          <w:sz w:val="20"/>
          <w:szCs w:val="20"/>
        </w:rPr>
        <w:t xml:space="preserve">, </w:t>
      </w:r>
      <w:r w:rsidRPr="001E2BCB">
        <w:rPr>
          <w:rFonts w:ascii="Arial" w:hAnsi="Arial" w:cs="Arial"/>
          <w:i/>
          <w:sz w:val="20"/>
          <w:szCs w:val="20"/>
        </w:rPr>
        <w:t>N</w:t>
      </w:r>
      <w:r w:rsidRPr="00696F2A">
        <w:rPr>
          <w:rFonts w:ascii="Arial" w:hAnsi="Arial" w:cs="Arial"/>
          <w:sz w:val="20"/>
          <w:szCs w:val="20"/>
        </w:rPr>
        <w:t xml:space="preserve"> = 22) averaged across all subjects for face-vase trials. Amplitudes in each frequency band did not differ significantly between </w:t>
      </w:r>
      <w:proofErr w:type="spellStart"/>
      <w:r w:rsidRPr="00696F2A">
        <w:rPr>
          <w:rFonts w:ascii="Arial" w:hAnsi="Arial" w:cs="Arial"/>
          <w:sz w:val="20"/>
          <w:szCs w:val="20"/>
        </w:rPr>
        <w:t>tDCS</w:t>
      </w:r>
      <w:proofErr w:type="spellEnd"/>
      <w:r w:rsidRPr="00696F2A">
        <w:rPr>
          <w:rFonts w:ascii="Arial" w:hAnsi="Arial" w:cs="Arial"/>
          <w:sz w:val="20"/>
          <w:szCs w:val="20"/>
        </w:rPr>
        <w:t xml:space="preserve"> conditions (paired t-test, all </w:t>
      </w:r>
      <w:r w:rsidRPr="00696F2A">
        <w:rPr>
          <w:rFonts w:ascii="Arial" w:hAnsi="Arial" w:cs="Arial"/>
          <w:i/>
          <w:sz w:val="20"/>
          <w:szCs w:val="20"/>
        </w:rPr>
        <w:t>p</w:t>
      </w:r>
      <w:r w:rsidRPr="00696F2A">
        <w:rPr>
          <w:rFonts w:ascii="Arial" w:hAnsi="Arial" w:cs="Arial"/>
          <w:sz w:val="20"/>
          <w:szCs w:val="20"/>
        </w:rPr>
        <w:t xml:space="preserve"> &gt; 0.023, uncorrected across EEG channels).</w:t>
      </w:r>
    </w:p>
    <w:p w14:paraId="0530D8E9" w14:textId="77777777" w:rsidR="000158AF" w:rsidRPr="00696F2A" w:rsidRDefault="00A00C89" w:rsidP="00696F2A">
      <w:pPr>
        <w:jc w:val="center"/>
        <w:rPr>
          <w:rFonts w:ascii="Arial" w:hAnsi="Arial" w:cs="Arial"/>
          <w:sz w:val="20"/>
          <w:szCs w:val="20"/>
        </w:rPr>
      </w:pPr>
      <w:r w:rsidRPr="00696F2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BB88719" wp14:editId="340219B8">
            <wp:extent cx="5408420" cy="3600991"/>
            <wp:effectExtent l="0" t="0" r="190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6" cy="36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1CF0" w14:textId="77777777" w:rsidR="000158AF" w:rsidRPr="00696F2A" w:rsidRDefault="000158AF" w:rsidP="000158AF">
      <w:pPr>
        <w:rPr>
          <w:rFonts w:ascii="Arial" w:hAnsi="Arial" w:cs="Arial"/>
          <w:sz w:val="20"/>
          <w:szCs w:val="20"/>
        </w:rPr>
      </w:pPr>
      <w:r w:rsidRPr="00696F2A">
        <w:rPr>
          <w:rFonts w:ascii="Arial" w:hAnsi="Arial" w:cs="Arial"/>
          <w:b/>
          <w:sz w:val="20"/>
          <w:szCs w:val="20"/>
        </w:rPr>
        <w:t>Fig</w:t>
      </w:r>
      <w:r w:rsidR="00B57C30" w:rsidRPr="00696F2A">
        <w:rPr>
          <w:rFonts w:ascii="Arial" w:hAnsi="Arial" w:cs="Arial"/>
          <w:b/>
          <w:sz w:val="20"/>
          <w:szCs w:val="20"/>
        </w:rPr>
        <w:t>.</w:t>
      </w:r>
      <w:r w:rsidRPr="00696F2A">
        <w:rPr>
          <w:rFonts w:ascii="Arial" w:hAnsi="Arial" w:cs="Arial"/>
          <w:b/>
          <w:sz w:val="20"/>
          <w:szCs w:val="20"/>
        </w:rPr>
        <w:t xml:space="preserve"> S3. Face-vase trials: correlating percept durations and band-limited amplitudes.</w:t>
      </w:r>
      <w:r w:rsidRPr="00696F2A">
        <w:rPr>
          <w:rFonts w:ascii="Arial" w:hAnsi="Arial" w:cs="Arial"/>
          <w:sz w:val="20"/>
          <w:szCs w:val="20"/>
        </w:rPr>
        <w:t xml:space="preserve"> Same as Fig. 3C but for face-vase trials.</w:t>
      </w:r>
    </w:p>
    <w:p w14:paraId="58A9092A" w14:textId="77777777" w:rsidR="000158AF" w:rsidRPr="00696F2A" w:rsidRDefault="00A00C89" w:rsidP="000158AF">
      <w:pPr>
        <w:rPr>
          <w:rFonts w:ascii="Arial" w:hAnsi="Arial" w:cs="Arial"/>
          <w:sz w:val="20"/>
          <w:szCs w:val="20"/>
        </w:rPr>
      </w:pPr>
      <w:r w:rsidRPr="00696F2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2316593" wp14:editId="6C12B707">
            <wp:extent cx="5943600" cy="7639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17243" w14:textId="77777777" w:rsidR="000158AF" w:rsidRPr="00696F2A" w:rsidRDefault="000158AF" w:rsidP="000158AF">
      <w:pPr>
        <w:rPr>
          <w:rFonts w:ascii="Arial" w:hAnsi="Arial" w:cs="Arial"/>
          <w:sz w:val="20"/>
          <w:szCs w:val="20"/>
        </w:rPr>
      </w:pPr>
      <w:r w:rsidRPr="00696F2A">
        <w:rPr>
          <w:rFonts w:ascii="Arial" w:hAnsi="Arial" w:cs="Arial"/>
          <w:b/>
          <w:sz w:val="20"/>
          <w:szCs w:val="20"/>
        </w:rPr>
        <w:t>Fig. S4</w:t>
      </w:r>
      <w:r w:rsidR="00B57C30" w:rsidRPr="00696F2A">
        <w:rPr>
          <w:rFonts w:ascii="Arial" w:hAnsi="Arial" w:cs="Arial"/>
          <w:b/>
          <w:sz w:val="20"/>
          <w:szCs w:val="20"/>
        </w:rPr>
        <w:t>.</w:t>
      </w:r>
      <w:r w:rsidRPr="00696F2A">
        <w:rPr>
          <w:rFonts w:ascii="Arial" w:hAnsi="Arial" w:cs="Arial"/>
          <w:b/>
          <w:sz w:val="20"/>
          <w:szCs w:val="20"/>
        </w:rPr>
        <w:t xml:space="preserve"> Face-vase trials: time courses for alpha and beta amplitudes in intermittent-viewing condition.</w:t>
      </w:r>
      <w:r w:rsidRPr="00696F2A">
        <w:rPr>
          <w:rFonts w:ascii="Arial" w:hAnsi="Arial" w:cs="Arial"/>
          <w:sz w:val="20"/>
          <w:szCs w:val="20"/>
        </w:rPr>
        <w:t xml:space="preserve"> Same as Fig. 4B but for face-vase trials.</w:t>
      </w:r>
    </w:p>
    <w:p w14:paraId="691964A8" w14:textId="28DD386B" w:rsidR="000158AF" w:rsidRPr="0030715C" w:rsidRDefault="00887D4E" w:rsidP="0030715C">
      <w:pPr>
        <w:rPr>
          <w:rFonts w:ascii="Arial" w:hAnsi="Arial" w:cs="Arial"/>
          <w:b/>
          <w:sz w:val="20"/>
          <w:szCs w:val="20"/>
        </w:rPr>
      </w:pPr>
      <w:r w:rsidRPr="00696F2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50486D9" wp14:editId="3D18C7CF">
            <wp:extent cx="5837515" cy="7815784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7515" cy="781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15C">
        <w:rPr>
          <w:rFonts w:ascii="Arial" w:hAnsi="Arial" w:cs="Arial"/>
          <w:b/>
          <w:sz w:val="20"/>
          <w:szCs w:val="20"/>
        </w:rPr>
        <w:t>F</w:t>
      </w:r>
      <w:r w:rsidR="00400E73" w:rsidRPr="00696F2A">
        <w:rPr>
          <w:rFonts w:ascii="Arial" w:hAnsi="Arial" w:cs="Arial"/>
          <w:b/>
          <w:sz w:val="20"/>
          <w:szCs w:val="20"/>
        </w:rPr>
        <w:t>ig. S5</w:t>
      </w:r>
      <w:r w:rsidR="00B57C30" w:rsidRPr="00696F2A">
        <w:rPr>
          <w:rFonts w:ascii="Arial" w:hAnsi="Arial" w:cs="Arial"/>
          <w:b/>
          <w:sz w:val="20"/>
          <w:szCs w:val="20"/>
        </w:rPr>
        <w:t>.</w:t>
      </w:r>
      <w:r w:rsidR="00400E73" w:rsidRPr="00696F2A">
        <w:rPr>
          <w:rFonts w:ascii="Arial" w:hAnsi="Arial" w:cs="Arial"/>
          <w:b/>
          <w:sz w:val="20"/>
          <w:szCs w:val="20"/>
        </w:rPr>
        <w:t xml:space="preserve"> T</w:t>
      </w:r>
      <w:r w:rsidR="000158AF" w:rsidRPr="00696F2A">
        <w:rPr>
          <w:rFonts w:ascii="Arial" w:hAnsi="Arial" w:cs="Arial"/>
          <w:b/>
          <w:sz w:val="20"/>
          <w:szCs w:val="20"/>
        </w:rPr>
        <w:t>ime courses of amplitudes in all frequency bands in intermittent-viewing condition.</w:t>
      </w:r>
      <w:r w:rsidR="000158AF" w:rsidRPr="00696F2A">
        <w:rPr>
          <w:rFonts w:ascii="Arial" w:hAnsi="Arial" w:cs="Arial"/>
          <w:sz w:val="20"/>
          <w:szCs w:val="20"/>
        </w:rPr>
        <w:t xml:space="preserve"> Same as</w:t>
      </w:r>
      <w:r w:rsidR="00BC4341" w:rsidRPr="00696F2A">
        <w:rPr>
          <w:rFonts w:ascii="Arial" w:hAnsi="Arial" w:cs="Arial"/>
          <w:sz w:val="20"/>
          <w:szCs w:val="20"/>
        </w:rPr>
        <w:t xml:space="preserve"> curves in</w:t>
      </w:r>
      <w:r w:rsidR="000158AF" w:rsidRPr="00696F2A">
        <w:rPr>
          <w:rFonts w:ascii="Arial" w:hAnsi="Arial" w:cs="Arial"/>
          <w:sz w:val="20"/>
          <w:szCs w:val="20"/>
        </w:rPr>
        <w:t xml:space="preserve"> </w:t>
      </w:r>
      <w:r w:rsidR="0023517A">
        <w:rPr>
          <w:rFonts w:ascii="Arial" w:hAnsi="Arial" w:cs="Arial"/>
          <w:sz w:val="20"/>
          <w:szCs w:val="20"/>
        </w:rPr>
        <w:t xml:space="preserve">Fig. 4B and </w:t>
      </w:r>
      <w:r w:rsidR="000158AF" w:rsidRPr="00696F2A">
        <w:rPr>
          <w:rFonts w:ascii="Arial" w:hAnsi="Arial" w:cs="Arial"/>
          <w:sz w:val="20"/>
          <w:szCs w:val="20"/>
        </w:rPr>
        <w:t xml:space="preserve">Fig. S4 but for </w:t>
      </w:r>
      <w:r w:rsidR="0023517A">
        <w:rPr>
          <w:rFonts w:ascii="Arial" w:hAnsi="Arial" w:cs="Arial"/>
          <w:sz w:val="20"/>
          <w:szCs w:val="20"/>
        </w:rPr>
        <w:t>additional</w:t>
      </w:r>
      <w:r w:rsidR="000158AF" w:rsidRPr="00696F2A">
        <w:rPr>
          <w:rFonts w:ascii="Arial" w:hAnsi="Arial" w:cs="Arial"/>
          <w:sz w:val="20"/>
          <w:szCs w:val="20"/>
        </w:rPr>
        <w:t xml:space="preserve"> frequency bands.</w:t>
      </w:r>
    </w:p>
    <w:p w14:paraId="07858E29" w14:textId="7AB6192E" w:rsidR="00A00C89" w:rsidRPr="006562FC" w:rsidRDefault="00A00C89" w:rsidP="000158AF">
      <w:pPr>
        <w:rPr>
          <w:rFonts w:ascii="Arial" w:hAnsi="Arial" w:cs="Arial"/>
          <w:sz w:val="20"/>
          <w:szCs w:val="20"/>
        </w:rPr>
      </w:pPr>
      <w:r w:rsidRPr="00696F2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5D20E06" wp14:editId="3670C1CA">
            <wp:extent cx="5943600" cy="29768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B6A40" w14:textId="77777777" w:rsidR="00BB2967" w:rsidRPr="00696F2A" w:rsidRDefault="000158AF" w:rsidP="000158AF">
      <w:pPr>
        <w:rPr>
          <w:rFonts w:ascii="Arial" w:hAnsi="Arial" w:cs="Arial"/>
          <w:sz w:val="20"/>
          <w:szCs w:val="20"/>
        </w:rPr>
      </w:pPr>
      <w:r w:rsidRPr="00696F2A">
        <w:rPr>
          <w:rFonts w:ascii="Arial" w:hAnsi="Arial" w:cs="Arial"/>
          <w:b/>
          <w:sz w:val="20"/>
          <w:szCs w:val="20"/>
        </w:rPr>
        <w:t>Fig. S6</w:t>
      </w:r>
      <w:r w:rsidR="00B57C30" w:rsidRPr="00696F2A">
        <w:rPr>
          <w:rFonts w:ascii="Arial" w:hAnsi="Arial" w:cs="Arial"/>
          <w:b/>
          <w:sz w:val="20"/>
          <w:szCs w:val="20"/>
        </w:rPr>
        <w:t>.</w:t>
      </w:r>
      <w:r w:rsidRPr="00696F2A">
        <w:rPr>
          <w:rFonts w:ascii="Arial" w:hAnsi="Arial" w:cs="Arial"/>
          <w:b/>
          <w:sz w:val="20"/>
          <w:szCs w:val="20"/>
        </w:rPr>
        <w:t xml:space="preserve"> Face-vase trials: correlating</w:t>
      </w:r>
      <w:r w:rsidR="00DD39B5" w:rsidRPr="00696F2A">
        <w:rPr>
          <w:rFonts w:ascii="Arial" w:hAnsi="Arial" w:cs="Arial"/>
          <w:b/>
          <w:sz w:val="20"/>
          <w:szCs w:val="20"/>
        </w:rPr>
        <w:t xml:space="preserve"> persistence</w:t>
      </w:r>
      <w:r w:rsidRPr="00696F2A">
        <w:rPr>
          <w:rFonts w:ascii="Arial" w:hAnsi="Arial" w:cs="Arial"/>
          <w:b/>
          <w:sz w:val="20"/>
          <w:szCs w:val="20"/>
        </w:rPr>
        <w:t xml:space="preserve"> of perceptual memory and band-limited amplitudes.</w:t>
      </w:r>
      <w:r w:rsidRPr="00696F2A">
        <w:rPr>
          <w:rFonts w:ascii="Arial" w:hAnsi="Arial" w:cs="Arial"/>
          <w:sz w:val="20"/>
          <w:szCs w:val="20"/>
        </w:rPr>
        <w:t xml:space="preserve"> Same as Fig. 5C but for face-vase trials.</w:t>
      </w:r>
    </w:p>
    <w:sectPr w:rsidR="00BB2967" w:rsidRPr="00696F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BB9"/>
    <w:rsid w:val="000158AF"/>
    <w:rsid w:val="000161BA"/>
    <w:rsid w:val="000C13FA"/>
    <w:rsid w:val="001D5979"/>
    <w:rsid w:val="001E2BCB"/>
    <w:rsid w:val="0020114C"/>
    <w:rsid w:val="0023517A"/>
    <w:rsid w:val="002827F8"/>
    <w:rsid w:val="002F1C41"/>
    <w:rsid w:val="0030715C"/>
    <w:rsid w:val="00394F94"/>
    <w:rsid w:val="00400E73"/>
    <w:rsid w:val="004A57B8"/>
    <w:rsid w:val="004F21EE"/>
    <w:rsid w:val="00504080"/>
    <w:rsid w:val="00562597"/>
    <w:rsid w:val="006562FC"/>
    <w:rsid w:val="006649AD"/>
    <w:rsid w:val="00696F2A"/>
    <w:rsid w:val="006F3CD9"/>
    <w:rsid w:val="00771E54"/>
    <w:rsid w:val="00776015"/>
    <w:rsid w:val="007776BB"/>
    <w:rsid w:val="00786A07"/>
    <w:rsid w:val="00887D4E"/>
    <w:rsid w:val="008D13BC"/>
    <w:rsid w:val="009217EF"/>
    <w:rsid w:val="00986123"/>
    <w:rsid w:val="00A00C89"/>
    <w:rsid w:val="00A05CC7"/>
    <w:rsid w:val="00A84CE2"/>
    <w:rsid w:val="00AA3FE9"/>
    <w:rsid w:val="00B57C30"/>
    <w:rsid w:val="00B80053"/>
    <w:rsid w:val="00BC4341"/>
    <w:rsid w:val="00CA2C22"/>
    <w:rsid w:val="00CD25C9"/>
    <w:rsid w:val="00CF7631"/>
    <w:rsid w:val="00D506AF"/>
    <w:rsid w:val="00D94BB9"/>
    <w:rsid w:val="00DD39B5"/>
    <w:rsid w:val="00E74E6A"/>
    <w:rsid w:val="00F7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59952"/>
  <w15:chartTrackingRefBased/>
  <w15:docId w15:val="{FEA59E7C-8B7C-4E77-9B2A-FCA46DC89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Zhu, Michael</dc:creator>
  <cp:keywords/>
  <dc:description/>
  <cp:lastModifiedBy>Zhu, Michael</cp:lastModifiedBy>
  <cp:revision>52</cp:revision>
  <dcterms:created xsi:type="dcterms:W3CDTF">2021-07-27T14:10:00Z</dcterms:created>
  <dcterms:modified xsi:type="dcterms:W3CDTF">2021-08-23T12:49:00Z</dcterms:modified>
</cp:coreProperties>
</file>