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2792" w14:textId="461AA34D" w:rsidR="005D4079" w:rsidRPr="002F6713" w:rsidRDefault="005D4079" w:rsidP="002F6713">
      <w:pPr>
        <w:spacing w:after="0" w:line="240" w:lineRule="auto"/>
        <w:jc w:val="center"/>
        <w:rPr>
          <w:rFonts w:cs="Arial"/>
          <w:b/>
          <w:bCs/>
          <w:color w:val="7030A0"/>
          <w:sz w:val="36"/>
          <w:szCs w:val="36"/>
        </w:rPr>
      </w:pPr>
      <w:r w:rsidRPr="002F6713">
        <w:rPr>
          <w:rFonts w:cs="Arial"/>
          <w:b/>
          <w:bCs/>
          <w:color w:val="7030A0"/>
          <w:sz w:val="36"/>
          <w:szCs w:val="36"/>
        </w:rPr>
        <w:t>Guidance for Use of Advertising in Research Subject Recruitment</w:t>
      </w:r>
    </w:p>
    <w:p w14:paraId="0794C0CB" w14:textId="77777777" w:rsidR="005D4079" w:rsidRPr="002F6713" w:rsidRDefault="005D4079" w:rsidP="005D4079">
      <w:pPr>
        <w:pStyle w:val="NormalWeb"/>
        <w:spacing w:before="0" w:beforeAutospacing="0" w:after="0" w:afterAutospacing="0"/>
        <w:rPr>
          <w:rFonts w:ascii="Arial" w:hAnsi="Arial" w:cs="Arial"/>
          <w:b/>
          <w:color w:val="FFC000" w:themeColor="accent4"/>
          <w:sz w:val="28"/>
          <w:szCs w:val="28"/>
        </w:rPr>
      </w:pPr>
    </w:p>
    <w:p w14:paraId="1F4E5361" w14:textId="78F705C6" w:rsidR="00C148FC" w:rsidRPr="002F6713" w:rsidRDefault="005D4079" w:rsidP="7094D0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F6713">
        <w:rPr>
          <w:rFonts w:ascii="Arial" w:hAnsi="Arial" w:cs="Arial"/>
          <w:b/>
          <w:color w:val="7030A0"/>
          <w:sz w:val="28"/>
          <w:szCs w:val="28"/>
        </w:rPr>
        <w:t>Purpose of this Document</w:t>
      </w:r>
    </w:p>
    <w:p w14:paraId="583BE14B" w14:textId="4CE7B8C9" w:rsidR="00C148FC" w:rsidRPr="002F6713" w:rsidRDefault="00C148FC" w:rsidP="7094D0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F6713">
        <w:rPr>
          <w:rFonts w:ascii="Arial" w:hAnsi="Arial" w:cs="Arial"/>
          <w:sz w:val="20"/>
          <w:szCs w:val="20"/>
        </w:rPr>
        <w:t xml:space="preserve">This document provides </w:t>
      </w:r>
      <w:r w:rsidR="006F08F4" w:rsidRPr="002F6713">
        <w:rPr>
          <w:rFonts w:ascii="Arial" w:hAnsi="Arial" w:cs="Arial"/>
          <w:sz w:val="20"/>
          <w:szCs w:val="20"/>
        </w:rPr>
        <w:t>guidance for resources available to</w:t>
      </w:r>
      <w:r w:rsidRPr="002F6713">
        <w:rPr>
          <w:rFonts w:ascii="Arial" w:hAnsi="Arial" w:cs="Arial"/>
          <w:sz w:val="20"/>
          <w:szCs w:val="20"/>
        </w:rPr>
        <w:t xml:space="preserve"> researchers that are interested in using digital and/or print advertising to recruit for human subjects research conducted at NYU Langone Health. It details different types of paid advertising/marketing, non-advertising opportunities, the resources that may be available at different budget levels, and how to apply for non-financial support and guidance from the Department of Communications &amp; Marketing.</w:t>
      </w:r>
    </w:p>
    <w:p w14:paraId="02146843" w14:textId="71F6AE04" w:rsidR="00C26456" w:rsidRPr="002F6713" w:rsidRDefault="00C26456" w:rsidP="005D4079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2D06D27B" w14:textId="77777777" w:rsidR="005D4079" w:rsidRPr="002F6713" w:rsidRDefault="005D4079" w:rsidP="005D4079">
      <w:pPr>
        <w:pStyle w:val="NormalWeb"/>
        <w:spacing w:before="0" w:beforeAutospacing="0" w:after="0" w:afterAutospacing="0"/>
        <w:rPr>
          <w:rFonts w:ascii="Arial" w:hAnsi="Arial" w:cs="Arial"/>
          <w:b/>
          <w:color w:val="7030A0"/>
          <w:sz w:val="28"/>
          <w:szCs w:val="28"/>
        </w:rPr>
      </w:pPr>
      <w:r w:rsidRPr="002F6713">
        <w:rPr>
          <w:rFonts w:ascii="Arial" w:hAnsi="Arial" w:cs="Arial"/>
          <w:b/>
          <w:color w:val="7030A0"/>
          <w:sz w:val="28"/>
          <w:szCs w:val="28"/>
        </w:rPr>
        <w:t>Background</w:t>
      </w:r>
    </w:p>
    <w:p w14:paraId="79C5778C" w14:textId="22B85269" w:rsidR="005D4079" w:rsidRPr="002F6713" w:rsidRDefault="492EA15D" w:rsidP="7094D0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F6713">
        <w:rPr>
          <w:rFonts w:ascii="Arial" w:hAnsi="Arial" w:cs="Arial"/>
          <w:sz w:val="20"/>
          <w:szCs w:val="20"/>
        </w:rPr>
        <w:t xml:space="preserve">Digital and/or </w:t>
      </w:r>
      <w:r w:rsidR="1DB7DACF" w:rsidRPr="002F6713">
        <w:rPr>
          <w:rFonts w:ascii="Arial" w:hAnsi="Arial" w:cs="Arial"/>
          <w:sz w:val="20"/>
          <w:szCs w:val="20"/>
        </w:rPr>
        <w:t>print</w:t>
      </w:r>
      <w:r w:rsidR="26BD40BB" w:rsidRPr="002F6713">
        <w:rPr>
          <w:rFonts w:ascii="Arial" w:hAnsi="Arial" w:cs="Arial"/>
          <w:sz w:val="20"/>
          <w:szCs w:val="20"/>
        </w:rPr>
        <w:t xml:space="preserve"> advertising requires </w:t>
      </w:r>
      <w:r w:rsidRPr="002F6713">
        <w:rPr>
          <w:rFonts w:ascii="Arial" w:hAnsi="Arial" w:cs="Arial"/>
          <w:sz w:val="20"/>
          <w:szCs w:val="20"/>
        </w:rPr>
        <w:t>a financial and staff</w:t>
      </w:r>
      <w:r w:rsidR="2D6293CB" w:rsidRPr="002F6713">
        <w:rPr>
          <w:rFonts w:ascii="Arial" w:hAnsi="Arial" w:cs="Arial"/>
          <w:sz w:val="20"/>
          <w:szCs w:val="20"/>
        </w:rPr>
        <w:t xml:space="preserve">ing investment in order to develop a plan, create assets, buy advertising space, and manage, track, and measure results. </w:t>
      </w:r>
      <w:r w:rsidR="26BD40BB" w:rsidRPr="002F6713">
        <w:rPr>
          <w:rFonts w:ascii="Arial" w:hAnsi="Arial" w:cs="Arial"/>
          <w:sz w:val="20"/>
          <w:szCs w:val="20"/>
        </w:rPr>
        <w:t xml:space="preserve">There are also challenges and limitations </w:t>
      </w:r>
      <w:r w:rsidR="2D6293CB" w:rsidRPr="002F6713">
        <w:rPr>
          <w:rFonts w:ascii="Arial" w:hAnsi="Arial" w:cs="Arial"/>
          <w:sz w:val="20"/>
          <w:szCs w:val="20"/>
        </w:rPr>
        <w:t>specific to</w:t>
      </w:r>
      <w:r w:rsidR="26BD40BB" w:rsidRPr="002F6713">
        <w:rPr>
          <w:rFonts w:ascii="Arial" w:hAnsi="Arial" w:cs="Arial"/>
          <w:sz w:val="20"/>
          <w:szCs w:val="20"/>
        </w:rPr>
        <w:t xml:space="preserve"> digital marketing for clinical trial recruitment that may make </w:t>
      </w:r>
      <w:r w:rsidR="2D6293CB" w:rsidRPr="002F6713">
        <w:rPr>
          <w:rFonts w:ascii="Arial" w:hAnsi="Arial" w:cs="Arial"/>
          <w:sz w:val="20"/>
          <w:szCs w:val="20"/>
        </w:rPr>
        <w:t>these</w:t>
      </w:r>
      <w:r w:rsidR="26BD40BB" w:rsidRPr="002F6713">
        <w:rPr>
          <w:rFonts w:ascii="Arial" w:hAnsi="Arial" w:cs="Arial"/>
          <w:sz w:val="20"/>
          <w:szCs w:val="20"/>
        </w:rPr>
        <w:t xml:space="preserve"> </w:t>
      </w:r>
      <w:r w:rsidR="1DB7DACF" w:rsidRPr="002F6713">
        <w:rPr>
          <w:rFonts w:ascii="Arial" w:hAnsi="Arial" w:cs="Arial"/>
          <w:sz w:val="20"/>
          <w:szCs w:val="20"/>
        </w:rPr>
        <w:t xml:space="preserve">specific </w:t>
      </w:r>
      <w:r w:rsidR="26BD40BB" w:rsidRPr="002F6713">
        <w:rPr>
          <w:rFonts w:ascii="Arial" w:hAnsi="Arial" w:cs="Arial"/>
          <w:sz w:val="20"/>
          <w:szCs w:val="20"/>
        </w:rPr>
        <w:t xml:space="preserve">efforts difficult. </w:t>
      </w:r>
      <w:r w:rsidR="2D6293CB" w:rsidRPr="002F6713">
        <w:rPr>
          <w:rFonts w:ascii="Arial" w:hAnsi="Arial" w:cs="Arial"/>
          <w:sz w:val="20"/>
          <w:szCs w:val="20"/>
        </w:rPr>
        <w:t>Additionally, s</w:t>
      </w:r>
      <w:r w:rsidR="26BD40BB" w:rsidRPr="002F6713">
        <w:rPr>
          <w:rFonts w:ascii="Arial" w:hAnsi="Arial" w:cs="Arial"/>
          <w:sz w:val="20"/>
          <w:szCs w:val="20"/>
        </w:rPr>
        <w:t xml:space="preserve">ome studies or topics may not be suited to digital advertising. </w:t>
      </w:r>
    </w:p>
    <w:p w14:paraId="27881EE9" w14:textId="77777777" w:rsidR="005D4079" w:rsidRPr="002F6713" w:rsidRDefault="005D4079" w:rsidP="005D4079">
      <w:pPr>
        <w:pStyle w:val="NormalWeb"/>
        <w:spacing w:before="0" w:beforeAutospacing="0" w:after="0" w:afterAutospacing="0"/>
        <w:rPr>
          <w:rFonts w:ascii="Arial" w:hAnsi="Arial" w:cs="Arial"/>
          <w:b/>
          <w:color w:val="FFC000" w:themeColor="accent4"/>
          <w:sz w:val="28"/>
          <w:szCs w:val="32"/>
        </w:rPr>
      </w:pPr>
    </w:p>
    <w:p w14:paraId="04BD8D3A" w14:textId="747FF813" w:rsidR="005D4079" w:rsidRPr="002F6713" w:rsidRDefault="005D4079" w:rsidP="005D4079">
      <w:pPr>
        <w:spacing w:after="0" w:line="240" w:lineRule="auto"/>
        <w:rPr>
          <w:rFonts w:cs="Arial"/>
          <w:b/>
          <w:color w:val="7030A0"/>
          <w:sz w:val="28"/>
          <w:szCs w:val="28"/>
        </w:rPr>
      </w:pPr>
      <w:r w:rsidRPr="002F6713">
        <w:rPr>
          <w:rFonts w:cs="Arial"/>
          <w:b/>
          <w:color w:val="7030A0"/>
          <w:sz w:val="28"/>
          <w:szCs w:val="28"/>
        </w:rPr>
        <w:t xml:space="preserve">Key Elements </w:t>
      </w:r>
      <w:r w:rsidR="00E92F39" w:rsidRPr="002F6713">
        <w:rPr>
          <w:rFonts w:cs="Arial"/>
          <w:b/>
          <w:color w:val="7030A0"/>
          <w:sz w:val="28"/>
          <w:szCs w:val="28"/>
        </w:rPr>
        <w:t xml:space="preserve">for </w:t>
      </w:r>
      <w:r w:rsidR="00E31C88" w:rsidRPr="002F6713">
        <w:rPr>
          <w:rFonts w:cs="Arial"/>
          <w:b/>
          <w:color w:val="7030A0"/>
          <w:sz w:val="28"/>
          <w:szCs w:val="28"/>
        </w:rPr>
        <w:t>Success</w:t>
      </w:r>
    </w:p>
    <w:p w14:paraId="3CE6C900" w14:textId="4163B44D" w:rsidR="00AE3950" w:rsidRPr="002F6713" w:rsidRDefault="26BD40BB" w:rsidP="13A6A0FB">
      <w:pPr>
        <w:spacing w:after="0" w:line="240" w:lineRule="auto"/>
        <w:rPr>
          <w:rFonts w:cs="Arial"/>
          <w:sz w:val="20"/>
          <w:szCs w:val="20"/>
        </w:rPr>
      </w:pPr>
      <w:r w:rsidRPr="002F6713">
        <w:rPr>
          <w:rFonts w:cs="Arial"/>
          <w:sz w:val="20"/>
          <w:szCs w:val="20"/>
        </w:rPr>
        <w:t xml:space="preserve">It is important to ensure that </w:t>
      </w:r>
      <w:r w:rsidR="2D6293CB" w:rsidRPr="002F6713">
        <w:rPr>
          <w:rFonts w:cs="Arial"/>
          <w:sz w:val="20"/>
          <w:szCs w:val="20"/>
        </w:rPr>
        <w:t xml:space="preserve">external advertising </w:t>
      </w:r>
      <w:r w:rsidRPr="002F6713">
        <w:rPr>
          <w:rFonts w:cs="Arial"/>
          <w:sz w:val="20"/>
          <w:szCs w:val="20"/>
        </w:rPr>
        <w:t>is an</w:t>
      </w:r>
      <w:r w:rsidR="2D6293CB" w:rsidRPr="002F6713">
        <w:rPr>
          <w:rFonts w:cs="Arial"/>
          <w:sz w:val="20"/>
          <w:szCs w:val="20"/>
        </w:rPr>
        <w:t xml:space="preserve"> </w:t>
      </w:r>
      <w:r w:rsidRPr="002F6713">
        <w:rPr>
          <w:rFonts w:cs="Arial"/>
          <w:sz w:val="20"/>
          <w:szCs w:val="20"/>
        </w:rPr>
        <w:t xml:space="preserve">additive element to your clinical trial recruitment strategy, and not the primary tactic. </w:t>
      </w:r>
      <w:r w:rsidR="2D6293CB" w:rsidRPr="002F6713">
        <w:rPr>
          <w:rFonts w:cs="Arial"/>
          <w:sz w:val="20"/>
          <w:szCs w:val="20"/>
        </w:rPr>
        <w:t xml:space="preserve">Below are the </w:t>
      </w:r>
      <w:r w:rsidR="761C3EE1" w:rsidRPr="002F6713">
        <w:rPr>
          <w:rFonts w:cs="Arial"/>
          <w:sz w:val="20"/>
          <w:szCs w:val="20"/>
        </w:rPr>
        <w:t xml:space="preserve">key components necessary to be considered for digital and/or </w:t>
      </w:r>
      <w:r w:rsidR="1DB7DACF" w:rsidRPr="002F6713">
        <w:rPr>
          <w:rFonts w:cs="Arial"/>
          <w:sz w:val="20"/>
          <w:szCs w:val="20"/>
        </w:rPr>
        <w:t>print</w:t>
      </w:r>
      <w:r w:rsidR="761C3EE1" w:rsidRPr="002F6713">
        <w:rPr>
          <w:rFonts w:cs="Arial"/>
          <w:sz w:val="20"/>
          <w:szCs w:val="20"/>
        </w:rPr>
        <w:t xml:space="preserve"> advertising. </w:t>
      </w:r>
    </w:p>
    <w:p w14:paraId="7FD504B9" w14:textId="77777777" w:rsidR="00AE3950" w:rsidRPr="002F6713" w:rsidRDefault="00AE3950" w:rsidP="00AE3950">
      <w:pPr>
        <w:spacing w:after="0" w:line="240" w:lineRule="auto"/>
        <w:rPr>
          <w:rFonts w:cs="Arial"/>
          <w:sz w:val="20"/>
          <w:szCs w:val="20"/>
        </w:rPr>
      </w:pPr>
    </w:p>
    <w:p w14:paraId="045B492E" w14:textId="52A0F451" w:rsidR="00AE3950" w:rsidRPr="002F6713" w:rsidRDefault="26BD40BB" w:rsidP="13A6A0FB">
      <w:pPr>
        <w:pStyle w:val="ListParagraph"/>
        <w:numPr>
          <w:ilvl w:val="0"/>
          <w:numId w:val="9"/>
        </w:numPr>
        <w:spacing w:after="0"/>
        <w:rPr>
          <w:rFonts w:cs="Arial"/>
          <w:b/>
          <w:bCs/>
          <w:sz w:val="20"/>
        </w:rPr>
      </w:pPr>
      <w:r w:rsidRPr="002F6713">
        <w:rPr>
          <w:rFonts w:cs="Arial"/>
          <w:b/>
          <w:bCs/>
          <w:sz w:val="20"/>
        </w:rPr>
        <w:t>A clearly defined and reachable target audience</w:t>
      </w:r>
    </w:p>
    <w:p w14:paraId="2883F61F" w14:textId="6BCBE1E3" w:rsidR="005D4079" w:rsidRPr="002F6713" w:rsidRDefault="26BD40BB" w:rsidP="13A6A0FB">
      <w:pPr>
        <w:pStyle w:val="ListParagraph"/>
        <w:numPr>
          <w:ilvl w:val="1"/>
          <w:numId w:val="9"/>
        </w:numPr>
        <w:spacing w:after="0"/>
        <w:rPr>
          <w:rFonts w:cs="Arial"/>
          <w:b/>
          <w:bCs/>
          <w:sz w:val="20"/>
        </w:rPr>
      </w:pPr>
      <w:r w:rsidRPr="002F6713">
        <w:rPr>
          <w:rFonts w:cs="Arial"/>
          <w:sz w:val="20"/>
        </w:rPr>
        <w:t>Audiences are identified and targeted online using key characteristics, demographics, and behaviors. It is necessary to clearly define a very specific target audience.</w:t>
      </w:r>
      <w:r w:rsidR="005D4079" w:rsidRPr="002F6713">
        <w:rPr>
          <w:rFonts w:cs="Arial"/>
        </w:rPr>
        <w:br/>
      </w:r>
    </w:p>
    <w:p w14:paraId="6985C3D9" w14:textId="3B063184" w:rsidR="005D4079" w:rsidRPr="002F6713" w:rsidRDefault="26BD40BB" w:rsidP="13A6A0FB">
      <w:pPr>
        <w:pStyle w:val="ListParagraph"/>
        <w:numPr>
          <w:ilvl w:val="0"/>
          <w:numId w:val="2"/>
        </w:numPr>
        <w:spacing w:after="0"/>
        <w:contextualSpacing/>
        <w:rPr>
          <w:rFonts w:cs="Arial"/>
          <w:b/>
          <w:bCs/>
          <w:sz w:val="20"/>
        </w:rPr>
      </w:pPr>
      <w:r w:rsidRPr="002F6713">
        <w:rPr>
          <w:rFonts w:cs="Arial"/>
          <w:b/>
          <w:bCs/>
          <w:sz w:val="20"/>
        </w:rPr>
        <w:t>A</w:t>
      </w:r>
      <w:r w:rsidR="761C3EE1" w:rsidRPr="002F6713">
        <w:rPr>
          <w:rFonts w:cs="Arial"/>
          <w:b/>
          <w:bCs/>
          <w:sz w:val="20"/>
        </w:rPr>
        <w:t xml:space="preserve"> destination</w:t>
      </w:r>
      <w:r w:rsidRPr="002F6713">
        <w:rPr>
          <w:rFonts w:cs="Arial"/>
          <w:b/>
          <w:bCs/>
          <w:sz w:val="20"/>
        </w:rPr>
        <w:t xml:space="preserve"> webpage where people who respond to your ad can learn more and </w:t>
      </w:r>
      <w:r w:rsidR="761C3EE1" w:rsidRPr="002F6713">
        <w:rPr>
          <w:rFonts w:cs="Arial"/>
          <w:b/>
          <w:bCs/>
          <w:sz w:val="20"/>
        </w:rPr>
        <w:t>enroll</w:t>
      </w:r>
    </w:p>
    <w:p w14:paraId="76B7ECC0" w14:textId="37B17D14" w:rsidR="00AE3950" w:rsidRPr="002F6713" w:rsidRDefault="26BD40BB" w:rsidP="13A6A0FB">
      <w:pPr>
        <w:pStyle w:val="ListParagraph"/>
        <w:numPr>
          <w:ilvl w:val="1"/>
          <w:numId w:val="2"/>
        </w:numPr>
        <w:spacing w:after="0"/>
        <w:contextualSpacing/>
        <w:rPr>
          <w:rFonts w:cs="Arial"/>
          <w:sz w:val="20"/>
        </w:rPr>
      </w:pPr>
      <w:r w:rsidRPr="002F6713">
        <w:rPr>
          <w:rFonts w:cs="Arial"/>
          <w:sz w:val="20"/>
        </w:rPr>
        <w:t xml:space="preserve">Digital advertising (including social media) </w:t>
      </w:r>
      <w:r w:rsidR="761C3EE1" w:rsidRPr="002F6713">
        <w:rPr>
          <w:rFonts w:cs="Arial"/>
          <w:sz w:val="20"/>
          <w:u w:val="single"/>
        </w:rPr>
        <w:t>requires</w:t>
      </w:r>
      <w:r w:rsidR="761C3EE1" w:rsidRPr="002F6713">
        <w:rPr>
          <w:rFonts w:cs="Arial"/>
          <w:sz w:val="20"/>
        </w:rPr>
        <w:t xml:space="preserve"> a destination webpage where people who click on the ad are driven to. Print advertising can rely on a phone number, but a webpage is highly recommended.</w:t>
      </w:r>
    </w:p>
    <w:p w14:paraId="4BB74BB3" w14:textId="67E5D20B" w:rsidR="005D4079" w:rsidRPr="002F6713" w:rsidRDefault="005D4079" w:rsidP="00AE3950">
      <w:pPr>
        <w:pStyle w:val="ListParagraph"/>
        <w:spacing w:after="0"/>
        <w:ind w:left="1440"/>
        <w:contextualSpacing/>
        <w:rPr>
          <w:rFonts w:cs="Arial"/>
          <w:sz w:val="20"/>
        </w:rPr>
      </w:pPr>
      <w:r w:rsidRPr="002F6713">
        <w:rPr>
          <w:rFonts w:cs="Arial"/>
          <w:sz w:val="20"/>
        </w:rPr>
        <w:t xml:space="preserve"> </w:t>
      </w:r>
    </w:p>
    <w:p w14:paraId="51DFF322" w14:textId="2B5A5F3F" w:rsidR="005D4079" w:rsidRPr="002F6713" w:rsidRDefault="005D4079" w:rsidP="005D4079">
      <w:pPr>
        <w:pStyle w:val="ListParagraph"/>
        <w:numPr>
          <w:ilvl w:val="0"/>
          <w:numId w:val="2"/>
        </w:numPr>
        <w:spacing w:after="0"/>
        <w:contextualSpacing/>
        <w:rPr>
          <w:rFonts w:cs="Arial"/>
          <w:b/>
          <w:iCs/>
          <w:sz w:val="20"/>
        </w:rPr>
      </w:pPr>
      <w:r w:rsidRPr="002F6713">
        <w:rPr>
          <w:rFonts w:cs="Arial"/>
          <w:b/>
          <w:iCs/>
          <w:sz w:val="20"/>
        </w:rPr>
        <w:t>Dedicated staff on your team</w:t>
      </w:r>
    </w:p>
    <w:p w14:paraId="0917C394" w14:textId="70E3BB10" w:rsidR="005D4079" w:rsidRPr="002F6713" w:rsidRDefault="00C961B9" w:rsidP="00AE3950">
      <w:pPr>
        <w:pStyle w:val="ListParagraph"/>
        <w:numPr>
          <w:ilvl w:val="1"/>
          <w:numId w:val="2"/>
        </w:numPr>
        <w:spacing w:after="0"/>
        <w:contextualSpacing/>
        <w:rPr>
          <w:rFonts w:cs="Arial"/>
          <w:sz w:val="20"/>
        </w:rPr>
      </w:pPr>
      <w:r w:rsidRPr="002F6713">
        <w:rPr>
          <w:rFonts w:cs="Arial"/>
          <w:sz w:val="20"/>
        </w:rPr>
        <w:t>It is necessary to designate a</w:t>
      </w:r>
      <w:r w:rsidR="005D4079" w:rsidRPr="002F6713">
        <w:rPr>
          <w:rFonts w:cs="Arial"/>
          <w:sz w:val="20"/>
        </w:rPr>
        <w:t xml:space="preserve"> lead on your team to </w:t>
      </w:r>
      <w:r w:rsidRPr="002F6713">
        <w:rPr>
          <w:rFonts w:cs="Arial"/>
          <w:sz w:val="20"/>
        </w:rPr>
        <w:t>own the advertising</w:t>
      </w:r>
      <w:r w:rsidR="005D4079" w:rsidRPr="002F6713">
        <w:rPr>
          <w:rFonts w:cs="Arial"/>
          <w:sz w:val="20"/>
        </w:rPr>
        <w:t xml:space="preserve">, facilitate approvals, and keep track of success with enrollments. </w:t>
      </w:r>
      <w:r w:rsidR="00AE3950" w:rsidRPr="002F6713">
        <w:rPr>
          <w:rFonts w:cs="Arial"/>
          <w:sz w:val="20"/>
        </w:rPr>
        <w:br/>
      </w:r>
    </w:p>
    <w:p w14:paraId="212495E8" w14:textId="3C7F88E0" w:rsidR="00AE3950" w:rsidRPr="002F6713" w:rsidRDefault="00AE3950" w:rsidP="00AE3950">
      <w:pPr>
        <w:pStyle w:val="ListParagraph"/>
        <w:numPr>
          <w:ilvl w:val="0"/>
          <w:numId w:val="2"/>
        </w:numPr>
        <w:spacing w:after="0"/>
        <w:contextualSpacing/>
        <w:rPr>
          <w:rFonts w:cs="Arial"/>
          <w:sz w:val="20"/>
        </w:rPr>
      </w:pPr>
      <w:r w:rsidRPr="002F6713">
        <w:rPr>
          <w:rFonts w:cs="Arial"/>
          <w:b/>
          <w:bCs/>
          <w:sz w:val="20"/>
        </w:rPr>
        <w:t>A dedicated budget</w:t>
      </w:r>
    </w:p>
    <w:p w14:paraId="4DBBCBBB" w14:textId="39B9FB3C" w:rsidR="00416599" w:rsidRPr="002F6713" w:rsidRDefault="761C3EE1" w:rsidP="13A6A0FB">
      <w:pPr>
        <w:pStyle w:val="ListParagraph"/>
        <w:numPr>
          <w:ilvl w:val="1"/>
          <w:numId w:val="2"/>
        </w:numPr>
        <w:spacing w:after="0"/>
        <w:contextualSpacing/>
        <w:rPr>
          <w:rFonts w:cs="Arial"/>
          <w:sz w:val="20"/>
        </w:rPr>
      </w:pPr>
      <w:r w:rsidRPr="002F6713">
        <w:rPr>
          <w:rFonts w:cs="Arial"/>
          <w:sz w:val="20"/>
        </w:rPr>
        <w:t>Advertising requires some minimum investment for asset development and trafficking to media outlets</w:t>
      </w:r>
      <w:r w:rsidR="5EDB6463" w:rsidRPr="002F6713">
        <w:rPr>
          <w:rFonts w:cs="Arial"/>
          <w:sz w:val="20"/>
        </w:rPr>
        <w:t>.</w:t>
      </w:r>
    </w:p>
    <w:p w14:paraId="5CB7E5CB" w14:textId="77777777" w:rsidR="00AE3950" w:rsidRPr="002F6713" w:rsidRDefault="00AE3950" w:rsidP="00AE3950">
      <w:pPr>
        <w:pStyle w:val="ListParagraph"/>
        <w:spacing w:after="0"/>
        <w:ind w:left="1440"/>
        <w:contextualSpacing/>
        <w:rPr>
          <w:rFonts w:cs="Arial"/>
          <w:b/>
          <w:color w:val="7030A0"/>
          <w:sz w:val="28"/>
          <w:szCs w:val="28"/>
        </w:rPr>
      </w:pPr>
    </w:p>
    <w:p w14:paraId="18F9E778" w14:textId="58E7B823" w:rsidR="00E92F39" w:rsidRPr="002F6713" w:rsidRDefault="00E92F39" w:rsidP="00E92F39">
      <w:pPr>
        <w:pStyle w:val="NormalWeb"/>
        <w:spacing w:before="0" w:beforeAutospacing="0" w:after="0" w:afterAutospacing="0"/>
        <w:rPr>
          <w:rFonts w:ascii="Arial" w:hAnsi="Arial" w:cs="Arial"/>
          <w:b/>
          <w:color w:val="7030A0"/>
          <w:sz w:val="28"/>
          <w:szCs w:val="32"/>
        </w:rPr>
      </w:pPr>
      <w:r w:rsidRPr="002F6713">
        <w:rPr>
          <w:rFonts w:ascii="Arial" w:hAnsi="Arial" w:cs="Arial"/>
          <w:b/>
          <w:color w:val="7030A0"/>
          <w:sz w:val="28"/>
          <w:szCs w:val="32"/>
        </w:rPr>
        <w:t xml:space="preserve">Types of </w:t>
      </w:r>
      <w:r w:rsidR="004E0F95" w:rsidRPr="002F6713">
        <w:rPr>
          <w:rFonts w:ascii="Arial" w:hAnsi="Arial" w:cs="Arial"/>
          <w:b/>
          <w:color w:val="7030A0"/>
          <w:sz w:val="28"/>
          <w:szCs w:val="32"/>
        </w:rPr>
        <w:t xml:space="preserve">Paid </w:t>
      </w:r>
      <w:r w:rsidRPr="002F6713">
        <w:rPr>
          <w:rFonts w:ascii="Arial" w:hAnsi="Arial" w:cs="Arial"/>
          <w:b/>
          <w:color w:val="7030A0"/>
          <w:sz w:val="28"/>
          <w:szCs w:val="32"/>
        </w:rPr>
        <w:t xml:space="preserve">Advertising/Marketing  </w:t>
      </w:r>
    </w:p>
    <w:p w14:paraId="4E949A3A" w14:textId="16DB2305" w:rsidR="00AE3950" w:rsidRPr="002F6713" w:rsidRDefault="00AE3950" w:rsidP="00E92F3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F6713">
        <w:rPr>
          <w:rFonts w:ascii="Arial" w:hAnsi="Arial" w:cs="Arial"/>
          <w:sz w:val="20"/>
          <w:szCs w:val="20"/>
        </w:rPr>
        <w:t xml:space="preserve">Depending on your goals, and answers to the questions above, there are a number of advertising options that may be well-suited to your recruitment goals. </w:t>
      </w:r>
      <w:r w:rsidRPr="002F6713">
        <w:rPr>
          <w:rFonts w:ascii="Arial" w:hAnsi="Arial" w:cs="Arial"/>
          <w:sz w:val="20"/>
          <w:szCs w:val="20"/>
        </w:rPr>
        <w:br/>
      </w:r>
    </w:p>
    <w:p w14:paraId="76747651" w14:textId="128DC89D" w:rsidR="00AE3950" w:rsidRPr="002F6713" w:rsidRDefault="00FD4E51" w:rsidP="00AE395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>Flyer</w:t>
      </w:r>
      <w:r w:rsidR="00D26488"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 Development</w:t>
      </w: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/Newspaper Advertising: </w:t>
      </w:r>
      <w:r w:rsidRPr="002F6713">
        <w:rPr>
          <w:rFonts w:ascii="Arial" w:eastAsia="Times New Roman" w:hAnsi="Arial" w:cs="Arial"/>
          <w:sz w:val="20"/>
          <w:szCs w:val="20"/>
        </w:rPr>
        <w:t>Paid insertions in local papers can be a useful way to target a specific audience.</w:t>
      </w:r>
      <w:r w:rsidR="00FA20EA" w:rsidRPr="002F6713">
        <w:rPr>
          <w:rFonts w:ascii="Arial" w:eastAsia="Times New Roman" w:hAnsi="Arial" w:cs="Arial"/>
          <w:sz w:val="20"/>
          <w:szCs w:val="20"/>
        </w:rPr>
        <w:br/>
      </w:r>
    </w:p>
    <w:p w14:paraId="41FC0285" w14:textId="22846B84" w:rsidR="00FD4E51" w:rsidRPr="002F6713" w:rsidRDefault="43B7883A" w:rsidP="13A6A0F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Search Engine Marketing: </w:t>
      </w:r>
      <w:r w:rsidRPr="002F6713">
        <w:rPr>
          <w:rFonts w:ascii="Arial" w:eastAsia="Times New Roman" w:hAnsi="Arial" w:cs="Arial"/>
          <w:sz w:val="20"/>
          <w:szCs w:val="20"/>
        </w:rPr>
        <w:t>Paid text ads that appear on Google or Bing based on what words or terms someone is searching for</w:t>
      </w:r>
      <w:r w:rsidR="00DC5152" w:rsidRPr="002F6713">
        <w:rPr>
          <w:rFonts w:ascii="Arial" w:eastAsia="Times New Roman" w:hAnsi="Arial" w:cs="Arial"/>
          <w:sz w:val="20"/>
          <w:szCs w:val="20"/>
        </w:rPr>
        <w:t>.</w:t>
      </w:r>
      <w:r w:rsidR="00FD4E51" w:rsidRPr="002F6713">
        <w:rPr>
          <w:rFonts w:ascii="Arial" w:hAnsi="Arial" w:cs="Arial"/>
        </w:rPr>
        <w:br/>
      </w:r>
    </w:p>
    <w:p w14:paraId="2F1B804B" w14:textId="335895CF" w:rsidR="00FD4E51" w:rsidRPr="002F6713" w:rsidRDefault="00FD4E51" w:rsidP="00AE395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Paid Social Media: </w:t>
      </w:r>
      <w:r w:rsidRPr="002F6713">
        <w:rPr>
          <w:rFonts w:ascii="Arial" w:eastAsia="Times New Roman" w:hAnsi="Arial" w:cs="Arial"/>
          <w:sz w:val="20"/>
          <w:szCs w:val="20"/>
        </w:rPr>
        <w:t xml:space="preserve">Paid posts on Facebook can be targeted to a specific demographic. </w:t>
      </w:r>
      <w:r w:rsidRPr="002F6713">
        <w:rPr>
          <w:rFonts w:ascii="Arial" w:hAnsi="Arial" w:cs="Arial"/>
          <w:bCs/>
          <w:sz w:val="20"/>
        </w:rPr>
        <w:t>Depending on your study, privacy issues and targeting limitations on social media may impact viability of advertising.</w:t>
      </w:r>
    </w:p>
    <w:p w14:paraId="730E9EF9" w14:textId="359981F1" w:rsidR="00C961B9" w:rsidRPr="002F6713" w:rsidRDefault="00C961B9" w:rsidP="00FD4E51">
      <w:pPr>
        <w:pStyle w:val="NormalWeb"/>
        <w:spacing w:before="0" w:beforeAutospacing="0" w:after="0" w:afterAutospacing="0"/>
        <w:rPr>
          <w:rFonts w:ascii="Arial" w:hAnsi="Arial" w:cs="Arial"/>
          <w:b/>
          <w:color w:val="7030A0"/>
          <w:sz w:val="28"/>
          <w:szCs w:val="32"/>
        </w:rPr>
      </w:pPr>
    </w:p>
    <w:p w14:paraId="2E91CEED" w14:textId="746C1FD8" w:rsidR="00FD4E51" w:rsidRPr="002F6713" w:rsidRDefault="00FD4E51" w:rsidP="00FD4E51">
      <w:pPr>
        <w:pStyle w:val="NormalWeb"/>
        <w:spacing w:before="0" w:beforeAutospacing="0" w:after="0" w:afterAutospacing="0"/>
        <w:rPr>
          <w:rFonts w:ascii="Arial" w:hAnsi="Arial" w:cs="Arial"/>
          <w:b/>
          <w:color w:val="7030A0"/>
          <w:sz w:val="28"/>
          <w:szCs w:val="32"/>
        </w:rPr>
      </w:pPr>
      <w:r w:rsidRPr="002F6713">
        <w:rPr>
          <w:rFonts w:ascii="Arial" w:hAnsi="Arial" w:cs="Arial"/>
          <w:b/>
          <w:color w:val="7030A0"/>
          <w:sz w:val="28"/>
          <w:szCs w:val="32"/>
        </w:rPr>
        <w:t>Non-Advertising Opportunities</w:t>
      </w:r>
    </w:p>
    <w:p w14:paraId="4CDCBF42" w14:textId="2DB59ADE" w:rsidR="00FD4E51" w:rsidRPr="002F6713" w:rsidRDefault="43B7883A" w:rsidP="13A6A0F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F6713">
        <w:rPr>
          <w:rFonts w:ascii="Arial" w:hAnsi="Arial" w:cs="Arial"/>
          <w:sz w:val="20"/>
          <w:szCs w:val="20"/>
        </w:rPr>
        <w:t>Depending on your goals, there are other</w:t>
      </w:r>
      <w:r w:rsidR="00DC5152" w:rsidRPr="002F6713">
        <w:rPr>
          <w:rFonts w:ascii="Arial" w:hAnsi="Arial" w:cs="Arial"/>
          <w:sz w:val="20"/>
          <w:szCs w:val="20"/>
        </w:rPr>
        <w:t xml:space="preserve"> </w:t>
      </w:r>
      <w:r w:rsidRPr="002F6713">
        <w:rPr>
          <w:rFonts w:ascii="Arial" w:hAnsi="Arial" w:cs="Arial"/>
          <w:sz w:val="20"/>
          <w:szCs w:val="20"/>
        </w:rPr>
        <w:t>options for outreach utilizing resources internal to NYU Langone that may be appropriate for your study.</w:t>
      </w:r>
    </w:p>
    <w:p w14:paraId="715C17CB" w14:textId="77777777" w:rsidR="00AC4014" w:rsidRPr="002F6713" w:rsidRDefault="00AC4014" w:rsidP="00FD4E5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BAF1BB4" w14:textId="0DDF2618" w:rsidR="00FD4E51" w:rsidRPr="002F6713" w:rsidRDefault="379CFF5C" w:rsidP="13A6A0F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>Clinical Relationships/Word of Mouth</w:t>
      </w:r>
      <w:r w:rsidR="61DF6A41"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="61DF6A41" w:rsidRPr="002F6713">
        <w:rPr>
          <w:rFonts w:ascii="Arial" w:eastAsia="Times New Roman" w:hAnsi="Arial" w:cs="Arial"/>
          <w:sz w:val="20"/>
          <w:szCs w:val="20"/>
        </w:rPr>
        <w:t xml:space="preserve">Leveraging internal clinical relationships/networking across departments and programs may be helpful for </w:t>
      </w:r>
      <w:r w:rsidR="5EDB6463" w:rsidRPr="002F6713">
        <w:rPr>
          <w:rFonts w:ascii="Arial" w:eastAsia="Times New Roman" w:hAnsi="Arial" w:cs="Arial"/>
          <w:sz w:val="20"/>
          <w:szCs w:val="20"/>
        </w:rPr>
        <w:t>highly targeted</w:t>
      </w:r>
      <w:r w:rsidR="61DF6A41" w:rsidRPr="002F6713">
        <w:rPr>
          <w:rFonts w:ascii="Arial" w:eastAsia="Times New Roman" w:hAnsi="Arial" w:cs="Arial"/>
          <w:sz w:val="20"/>
          <w:szCs w:val="20"/>
        </w:rPr>
        <w:t xml:space="preserve"> recruitment efforts. </w:t>
      </w:r>
      <w:r w:rsidR="00AC4014" w:rsidRPr="002F6713">
        <w:rPr>
          <w:rFonts w:ascii="Arial" w:hAnsi="Arial" w:cs="Arial"/>
        </w:rPr>
        <w:br/>
      </w:r>
    </w:p>
    <w:p w14:paraId="01159476" w14:textId="2E65EB0D" w:rsidR="00AC4014" w:rsidRPr="002F6713" w:rsidRDefault="379CFF5C" w:rsidP="13A6A0F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MyChart </w:t>
      </w:r>
      <w:r w:rsidR="5EDB6463" w:rsidRPr="002F6713">
        <w:rPr>
          <w:rFonts w:ascii="Arial" w:eastAsia="Times New Roman" w:hAnsi="Arial" w:cs="Arial"/>
          <w:b/>
          <w:bCs/>
          <w:sz w:val="20"/>
          <w:szCs w:val="20"/>
        </w:rPr>
        <w:t>Messaging</w:t>
      </w:r>
      <w:r w:rsidR="61DF6A41" w:rsidRPr="002F6713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61DF6A41" w:rsidRPr="002F6713">
        <w:rPr>
          <w:rFonts w:ascii="Arial" w:eastAsia="Times New Roman" w:hAnsi="Arial" w:cs="Arial"/>
          <w:sz w:val="20"/>
          <w:szCs w:val="20"/>
        </w:rPr>
        <w:t xml:space="preserve"> It may be possible to partner with MCIT to send targeted MyChart messages for </w:t>
      </w:r>
      <w:r w:rsidR="5EDB6463" w:rsidRPr="002F6713">
        <w:rPr>
          <w:rFonts w:ascii="Arial" w:eastAsia="Times New Roman" w:hAnsi="Arial" w:cs="Arial"/>
          <w:sz w:val="20"/>
          <w:szCs w:val="20"/>
        </w:rPr>
        <w:t xml:space="preserve">recruitment </w:t>
      </w:r>
      <w:r w:rsidR="61DF6A41" w:rsidRPr="002F6713">
        <w:rPr>
          <w:rFonts w:ascii="Arial" w:eastAsia="Times New Roman" w:hAnsi="Arial" w:cs="Arial"/>
          <w:sz w:val="20"/>
          <w:szCs w:val="20"/>
        </w:rPr>
        <w:t xml:space="preserve">purposes. </w:t>
      </w:r>
      <w:r w:rsidR="00AC4014" w:rsidRPr="002F6713">
        <w:rPr>
          <w:rFonts w:ascii="Arial" w:hAnsi="Arial" w:cs="Arial"/>
        </w:rPr>
        <w:br/>
      </w:r>
    </w:p>
    <w:p w14:paraId="7DD2BF18" w14:textId="429BEFA6" w:rsidR="00E92F39" w:rsidRPr="002F6713" w:rsidRDefault="379CFF5C" w:rsidP="13A6A0F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Organic Social Media: </w:t>
      </w:r>
      <w:r w:rsidRPr="002F6713">
        <w:rPr>
          <w:rFonts w:ascii="Arial" w:eastAsia="Times New Roman" w:hAnsi="Arial" w:cs="Arial"/>
          <w:sz w:val="20"/>
          <w:szCs w:val="20"/>
        </w:rPr>
        <w:t xml:space="preserve">The NYU Langone social media team </w:t>
      </w:r>
      <w:r w:rsidRPr="002F6713">
        <w:rPr>
          <w:rFonts w:ascii="Arial" w:eastAsia="Times New Roman" w:hAnsi="Arial" w:cs="Arial"/>
          <w:b/>
          <w:bCs/>
          <w:i/>
          <w:iCs/>
          <w:sz w:val="20"/>
          <w:szCs w:val="20"/>
        </w:rPr>
        <w:t>does not</w:t>
      </w:r>
      <w:r w:rsidRPr="002F671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2F6713">
        <w:rPr>
          <w:rFonts w:ascii="Arial" w:eastAsia="Times New Roman" w:hAnsi="Arial" w:cs="Arial"/>
          <w:sz w:val="20"/>
          <w:szCs w:val="20"/>
        </w:rPr>
        <w:t>post about clinical trials for the purposes of recruitment on</w:t>
      </w:r>
      <w:r w:rsidR="4F2A8B92" w:rsidRPr="002F6713">
        <w:rPr>
          <w:rFonts w:ascii="Arial" w:eastAsia="Times New Roman" w:hAnsi="Arial" w:cs="Arial"/>
          <w:sz w:val="20"/>
          <w:szCs w:val="20"/>
        </w:rPr>
        <w:t xml:space="preserve"> </w:t>
      </w:r>
      <w:r w:rsidRPr="002F6713">
        <w:rPr>
          <w:rFonts w:ascii="Arial" w:eastAsia="Times New Roman" w:hAnsi="Arial" w:cs="Arial"/>
          <w:sz w:val="20"/>
          <w:szCs w:val="20"/>
        </w:rPr>
        <w:t xml:space="preserve">institutional channels. </w:t>
      </w:r>
      <w:r w:rsidR="7B4E0DCB" w:rsidRPr="002F6713">
        <w:rPr>
          <w:rFonts w:ascii="Arial" w:eastAsia="Times New Roman" w:hAnsi="Arial" w:cs="Arial"/>
          <w:sz w:val="20"/>
          <w:szCs w:val="20"/>
        </w:rPr>
        <w:t xml:space="preserve">Some departments/divisions have social media accounts that are geared towards specific audiences—these channels may be more targeted and more appropriate for recruitment posts. </w:t>
      </w:r>
      <w:r w:rsidR="00AC4014" w:rsidRPr="002F6713">
        <w:rPr>
          <w:rFonts w:ascii="Arial" w:hAnsi="Arial" w:cs="Arial"/>
        </w:rPr>
        <w:br/>
      </w:r>
      <w:r w:rsidR="00AC4014" w:rsidRPr="002F6713">
        <w:rPr>
          <w:rFonts w:ascii="Arial" w:hAnsi="Arial" w:cs="Arial"/>
        </w:rPr>
        <w:br/>
      </w:r>
      <w:r w:rsidR="4D8BD592" w:rsidRPr="002F6713">
        <w:rPr>
          <w:rFonts w:ascii="Arial" w:eastAsia="Times New Roman" w:hAnsi="Arial" w:cs="Arial"/>
          <w:sz w:val="20"/>
          <w:szCs w:val="20"/>
        </w:rPr>
        <w:t>The institutional social media team</w:t>
      </w:r>
      <w:r w:rsidRPr="002F6713">
        <w:rPr>
          <w:rFonts w:ascii="Arial" w:eastAsia="Times New Roman" w:hAnsi="Arial" w:cs="Arial"/>
          <w:sz w:val="20"/>
          <w:szCs w:val="20"/>
        </w:rPr>
        <w:t xml:space="preserve"> may post about certain trials</w:t>
      </w:r>
      <w:r w:rsidR="7B4E0DCB" w:rsidRPr="002F6713">
        <w:rPr>
          <w:rFonts w:ascii="Arial" w:eastAsia="Times New Roman" w:hAnsi="Arial" w:cs="Arial"/>
          <w:sz w:val="20"/>
          <w:szCs w:val="20"/>
        </w:rPr>
        <w:t xml:space="preserve"> for </w:t>
      </w:r>
      <w:r w:rsidR="7B4E0DCB" w:rsidRPr="002F6713">
        <w:rPr>
          <w:rFonts w:ascii="Arial" w:eastAsia="Times New Roman" w:hAnsi="Arial" w:cs="Arial"/>
          <w:b/>
          <w:bCs/>
          <w:sz w:val="20"/>
          <w:szCs w:val="20"/>
        </w:rPr>
        <w:t>general awareness and reputation</w:t>
      </w:r>
      <w:r w:rsidRPr="002F6713">
        <w:rPr>
          <w:rFonts w:ascii="Arial" w:eastAsia="Times New Roman" w:hAnsi="Arial" w:cs="Arial"/>
          <w:sz w:val="20"/>
          <w:szCs w:val="20"/>
        </w:rPr>
        <w:t xml:space="preserve">, where the </w:t>
      </w:r>
      <w:r w:rsidR="4F2A8B92" w:rsidRPr="002F6713">
        <w:rPr>
          <w:rFonts w:ascii="Arial" w:eastAsia="Times New Roman" w:hAnsi="Arial" w:cs="Arial"/>
          <w:sz w:val="20"/>
          <w:szCs w:val="20"/>
        </w:rPr>
        <w:t xml:space="preserve">post </w:t>
      </w:r>
      <w:r w:rsidRPr="002F6713">
        <w:rPr>
          <w:rFonts w:ascii="Arial" w:eastAsia="Times New Roman" w:hAnsi="Arial" w:cs="Arial"/>
          <w:sz w:val="20"/>
          <w:szCs w:val="20"/>
        </w:rPr>
        <w:t xml:space="preserve">focuses on our involvement in the trial and value to clinical care. </w:t>
      </w:r>
      <w:r w:rsidR="61DF6A41" w:rsidRPr="002F6713">
        <w:rPr>
          <w:rFonts w:ascii="Arial" w:eastAsia="Times New Roman" w:hAnsi="Arial" w:cs="Arial"/>
          <w:sz w:val="20"/>
          <w:szCs w:val="20"/>
        </w:rPr>
        <w:t>These requests are evaluated on a case-by-case basis.</w:t>
      </w:r>
      <w:r w:rsidR="00AC4014" w:rsidRPr="002F6713">
        <w:rPr>
          <w:rFonts w:ascii="Arial" w:hAnsi="Arial" w:cs="Arial"/>
        </w:rPr>
        <w:br/>
      </w:r>
    </w:p>
    <w:p w14:paraId="3883B374" w14:textId="02D1FDA8" w:rsidR="003F3E2F" w:rsidRPr="002F6713" w:rsidRDefault="003F3E2F" w:rsidP="003F3E2F">
      <w:pPr>
        <w:pStyle w:val="NormalWeb"/>
        <w:spacing w:before="0" w:beforeAutospacing="0" w:after="0" w:afterAutospacing="0"/>
        <w:rPr>
          <w:rFonts w:ascii="Arial" w:hAnsi="Arial" w:cs="Arial"/>
          <w:b/>
          <w:color w:val="7030A0"/>
          <w:sz w:val="28"/>
          <w:szCs w:val="28"/>
        </w:rPr>
      </w:pPr>
      <w:r w:rsidRPr="002F6713">
        <w:rPr>
          <w:rFonts w:ascii="Arial" w:hAnsi="Arial" w:cs="Arial"/>
          <w:b/>
          <w:color w:val="7030A0"/>
          <w:sz w:val="28"/>
          <w:szCs w:val="28"/>
        </w:rPr>
        <w:t>Approvals</w:t>
      </w:r>
      <w:r w:rsidR="009E5685" w:rsidRPr="002F6713">
        <w:rPr>
          <w:rFonts w:ascii="Arial" w:hAnsi="Arial" w:cs="Arial"/>
          <w:b/>
          <w:color w:val="7030A0"/>
          <w:sz w:val="28"/>
          <w:szCs w:val="28"/>
        </w:rPr>
        <w:t xml:space="preserve"> Required</w:t>
      </w:r>
      <w:r w:rsidRPr="002F6713">
        <w:rPr>
          <w:rFonts w:ascii="Arial" w:hAnsi="Arial" w:cs="Arial"/>
          <w:b/>
          <w:color w:val="7030A0"/>
          <w:sz w:val="28"/>
          <w:szCs w:val="28"/>
        </w:rPr>
        <w:t xml:space="preserve"> Before Proceeding</w:t>
      </w:r>
      <w:r w:rsidR="009E5685" w:rsidRPr="002F6713">
        <w:rPr>
          <w:rFonts w:ascii="Arial" w:hAnsi="Arial" w:cs="Arial"/>
          <w:b/>
          <w:color w:val="7030A0"/>
          <w:sz w:val="28"/>
          <w:szCs w:val="28"/>
        </w:rPr>
        <w:t xml:space="preserve"> with Advertising/Marketing</w:t>
      </w:r>
    </w:p>
    <w:p w14:paraId="2F883FE9" w14:textId="0CB541C1" w:rsidR="00622823" w:rsidRPr="002F6713" w:rsidRDefault="003F3E2F" w:rsidP="00A45302">
      <w:pPr>
        <w:pStyle w:val="ListParagraph"/>
        <w:spacing w:after="0"/>
        <w:ind w:left="0"/>
        <w:rPr>
          <w:rFonts w:cs="Arial"/>
        </w:rPr>
      </w:pPr>
      <w:r w:rsidRPr="002F6713">
        <w:rPr>
          <w:rFonts w:cs="Arial"/>
          <w:iCs/>
          <w:sz w:val="20"/>
        </w:rPr>
        <w:t>As with all materials directed at potential participants</w:t>
      </w:r>
      <w:r w:rsidR="009B5F87" w:rsidRPr="002F6713">
        <w:rPr>
          <w:rFonts w:cs="Arial"/>
          <w:iCs/>
          <w:sz w:val="20"/>
        </w:rPr>
        <w:t xml:space="preserve"> of human subjects research</w:t>
      </w:r>
      <w:r w:rsidRPr="002F6713">
        <w:rPr>
          <w:rFonts w:cs="Arial"/>
          <w:iCs/>
          <w:sz w:val="20"/>
        </w:rPr>
        <w:t xml:space="preserve">, </w:t>
      </w:r>
      <w:r w:rsidR="004903EB" w:rsidRPr="002F6713">
        <w:rPr>
          <w:rFonts w:cs="Arial"/>
          <w:iCs/>
          <w:sz w:val="20"/>
        </w:rPr>
        <w:t>advertising</w:t>
      </w:r>
      <w:r w:rsidRPr="002F6713">
        <w:rPr>
          <w:rFonts w:cs="Arial"/>
          <w:iCs/>
          <w:sz w:val="20"/>
        </w:rPr>
        <w:t xml:space="preserve"> will require review and approval by </w:t>
      </w:r>
      <w:r w:rsidR="009B5F87" w:rsidRPr="002F6713">
        <w:rPr>
          <w:rFonts w:cs="Arial"/>
          <w:iCs/>
          <w:sz w:val="20"/>
        </w:rPr>
        <w:t xml:space="preserve">NYU Langone Health’s </w:t>
      </w:r>
      <w:r w:rsidRPr="002F6713">
        <w:rPr>
          <w:rFonts w:cs="Arial"/>
          <w:iCs/>
          <w:sz w:val="20"/>
        </w:rPr>
        <w:t>Institutional Review Board</w:t>
      </w:r>
      <w:r w:rsidR="009B5F87" w:rsidRPr="002F6713">
        <w:rPr>
          <w:rFonts w:cs="Arial"/>
          <w:iCs/>
          <w:sz w:val="20"/>
        </w:rPr>
        <w:t>s</w:t>
      </w:r>
      <w:r w:rsidRPr="002F6713">
        <w:rPr>
          <w:rFonts w:cs="Arial"/>
          <w:iCs/>
          <w:sz w:val="20"/>
        </w:rPr>
        <w:t xml:space="preserve">. Submit to the IRB through Research Navigator (RNAV). </w:t>
      </w:r>
      <w:r w:rsidR="004903EB" w:rsidRPr="002F6713">
        <w:rPr>
          <w:rFonts w:cs="Arial"/>
          <w:iCs/>
          <w:sz w:val="20"/>
        </w:rPr>
        <w:t>For more, visit t</w:t>
      </w:r>
      <w:r w:rsidRPr="002F6713">
        <w:rPr>
          <w:rFonts w:cs="Arial"/>
          <w:iCs/>
          <w:sz w:val="20"/>
        </w:rPr>
        <w:t xml:space="preserve">he </w:t>
      </w:r>
      <w:r w:rsidR="004903EB" w:rsidRPr="002F6713">
        <w:rPr>
          <w:rFonts w:cs="Arial"/>
          <w:iCs/>
          <w:sz w:val="20"/>
        </w:rPr>
        <w:t>g</w:t>
      </w:r>
      <w:r w:rsidRPr="002F6713">
        <w:rPr>
          <w:rFonts w:cs="Arial"/>
          <w:iCs/>
          <w:sz w:val="20"/>
        </w:rPr>
        <w:t xml:space="preserve">uidance document </w:t>
      </w:r>
      <w:r w:rsidR="002F6713">
        <w:rPr>
          <w:rFonts w:cs="Arial"/>
          <w:iCs/>
          <w:sz w:val="20"/>
        </w:rPr>
        <w:t>on</w:t>
      </w:r>
      <w:r w:rsidRPr="002F6713">
        <w:rPr>
          <w:rFonts w:cs="Arial"/>
          <w:iCs/>
          <w:sz w:val="20"/>
        </w:rPr>
        <w:t xml:space="preserve"> Advertisements for Recruiting Subjects</w:t>
      </w:r>
      <w:r w:rsidR="002F6713">
        <w:rPr>
          <w:rFonts w:cs="Arial"/>
          <w:iCs/>
          <w:sz w:val="20"/>
        </w:rPr>
        <w:t xml:space="preserve"> available on the Human Research Protections website</w:t>
      </w:r>
      <w:r w:rsidRPr="002F6713">
        <w:rPr>
          <w:rFonts w:cs="Arial"/>
          <w:iCs/>
          <w:sz w:val="20"/>
        </w:rPr>
        <w:t>.</w:t>
      </w:r>
      <w:r w:rsidR="002F6713">
        <w:rPr>
          <w:rFonts w:cs="Arial"/>
          <w:iCs/>
          <w:sz w:val="20"/>
        </w:rPr>
        <w:t xml:space="preserve"> </w:t>
      </w:r>
      <w:r w:rsidR="009B5F87" w:rsidRPr="002F6713">
        <w:rPr>
          <w:rFonts w:cs="Arial"/>
          <w:iCs/>
          <w:sz w:val="20"/>
        </w:rPr>
        <w:t>Questions pertaining to review</w:t>
      </w:r>
      <w:r w:rsidR="008903C8" w:rsidRPr="002F6713">
        <w:rPr>
          <w:rFonts w:cs="Arial"/>
          <w:iCs/>
          <w:sz w:val="20"/>
        </w:rPr>
        <w:t xml:space="preserve"> of advertising materials for human </w:t>
      </w:r>
      <w:proofErr w:type="gramStart"/>
      <w:r w:rsidR="008903C8" w:rsidRPr="002F6713">
        <w:rPr>
          <w:rFonts w:cs="Arial"/>
          <w:iCs/>
          <w:sz w:val="20"/>
        </w:rPr>
        <w:t>subjects</w:t>
      </w:r>
      <w:proofErr w:type="gramEnd"/>
      <w:r w:rsidR="008903C8" w:rsidRPr="002F6713">
        <w:rPr>
          <w:rFonts w:cs="Arial"/>
          <w:iCs/>
          <w:sz w:val="20"/>
        </w:rPr>
        <w:t xml:space="preserve"> research can be directed to </w:t>
      </w:r>
      <w:hyperlink r:id="rId8" w:history="1">
        <w:r w:rsidR="002F6713" w:rsidRPr="0094315E">
          <w:rPr>
            <w:rStyle w:val="Hyperlink"/>
            <w:rFonts w:cs="Arial"/>
            <w:iCs/>
            <w:sz w:val="20"/>
          </w:rPr>
          <w:t>IRB-info@Nyulangone.org</w:t>
        </w:r>
      </w:hyperlink>
      <w:r w:rsidR="002F6713">
        <w:rPr>
          <w:rFonts w:cs="Arial"/>
          <w:iCs/>
          <w:sz w:val="20"/>
        </w:rPr>
        <w:t xml:space="preserve">. </w:t>
      </w:r>
    </w:p>
    <w:p w14:paraId="1872FD27" w14:textId="77777777" w:rsidR="00D26488" w:rsidRPr="002F6713" w:rsidRDefault="00D26488" w:rsidP="003F3E2F">
      <w:pPr>
        <w:rPr>
          <w:rFonts w:cs="Arial"/>
          <w:sz w:val="28"/>
          <w:szCs w:val="28"/>
        </w:rPr>
      </w:pPr>
    </w:p>
    <w:p w14:paraId="78427D6E" w14:textId="547B4781" w:rsidR="00D537DB" w:rsidRPr="002F6713" w:rsidRDefault="004E0F95" w:rsidP="003F3E2F">
      <w:pPr>
        <w:rPr>
          <w:rFonts w:cs="Arial"/>
          <w:b/>
          <w:bCs/>
          <w:color w:val="7030A0"/>
          <w:sz w:val="28"/>
          <w:szCs w:val="28"/>
        </w:rPr>
      </w:pPr>
      <w:r w:rsidRPr="002F6713">
        <w:rPr>
          <w:rFonts w:cs="Arial"/>
          <w:b/>
          <w:bCs/>
          <w:color w:val="7030A0"/>
          <w:sz w:val="28"/>
          <w:szCs w:val="28"/>
        </w:rPr>
        <w:t>Guidance Levels and Available Resources</w:t>
      </w:r>
    </w:p>
    <w:p w14:paraId="7E3C2E83" w14:textId="0647BDC8" w:rsidR="00BB6864" w:rsidRPr="002F6713" w:rsidRDefault="00BB6864" w:rsidP="00BB686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Self-Guidance: </w:t>
      </w:r>
      <w:r w:rsidRPr="002F6713">
        <w:rPr>
          <w:rFonts w:ascii="Arial" w:eastAsia="Times New Roman" w:hAnsi="Arial" w:cs="Arial"/>
          <w:sz w:val="20"/>
          <w:szCs w:val="20"/>
        </w:rPr>
        <w:t>Researchers use resources outside of Communications &amp; Marketing to achieve recruitment goals.</w:t>
      </w:r>
    </w:p>
    <w:p w14:paraId="0A1D34A9" w14:textId="3E54B899" w:rsidR="00BB6864" w:rsidRPr="002F6713" w:rsidRDefault="00BB6864" w:rsidP="09FE5A88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Limited Guidance: </w:t>
      </w:r>
      <w:r w:rsidRPr="002F6713">
        <w:rPr>
          <w:rFonts w:ascii="Arial" w:eastAsia="Times New Roman" w:hAnsi="Arial" w:cs="Arial"/>
          <w:sz w:val="20"/>
          <w:szCs w:val="20"/>
        </w:rPr>
        <w:t xml:space="preserve">Communications &amp; Marketing provides a consult and </w:t>
      </w:r>
      <w:r w:rsidR="004E0F95" w:rsidRPr="002F6713">
        <w:rPr>
          <w:rFonts w:ascii="Arial" w:eastAsia="Times New Roman" w:hAnsi="Arial" w:cs="Arial"/>
          <w:sz w:val="20"/>
          <w:szCs w:val="20"/>
        </w:rPr>
        <w:t>review</w:t>
      </w:r>
      <w:r w:rsidR="000816B1" w:rsidRPr="002F6713">
        <w:rPr>
          <w:rFonts w:ascii="Arial" w:eastAsia="Times New Roman" w:hAnsi="Arial" w:cs="Arial"/>
          <w:sz w:val="20"/>
          <w:szCs w:val="20"/>
        </w:rPr>
        <w:t>.</w:t>
      </w:r>
    </w:p>
    <w:p w14:paraId="5C161D91" w14:textId="3F44360D" w:rsidR="00BB6864" w:rsidRPr="002F6713" w:rsidRDefault="00BB6864" w:rsidP="00BB686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>Comprehensive Guidance</w:t>
      </w:r>
      <w:r w:rsidR="000816B1"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="000816B1" w:rsidRPr="002F6713">
        <w:rPr>
          <w:rFonts w:ascii="Arial" w:eastAsia="Times New Roman" w:hAnsi="Arial" w:cs="Arial"/>
          <w:sz w:val="20"/>
          <w:szCs w:val="20"/>
        </w:rPr>
        <w:t xml:space="preserve">Communications &amp; Marketing provides comprehensive, guided support with the assistance of other agencies.  </w:t>
      </w:r>
    </w:p>
    <w:p w14:paraId="0C67862D" w14:textId="77777777" w:rsidR="00D26488" w:rsidRPr="002F6713" w:rsidRDefault="00D26488" w:rsidP="00BB6864">
      <w:pPr>
        <w:pStyle w:val="NormalWeb"/>
        <w:spacing w:before="0" w:beforeAutospacing="0" w:after="0" w:afterAutospacing="0"/>
        <w:ind w:left="72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GridTable1Light-Accent1"/>
        <w:tblW w:w="9985" w:type="dxa"/>
        <w:tblLayout w:type="fixed"/>
        <w:tblLook w:val="04A0" w:firstRow="1" w:lastRow="0" w:firstColumn="1" w:lastColumn="0" w:noHBand="0" w:noVBand="1"/>
      </w:tblPr>
      <w:tblGrid>
        <w:gridCol w:w="2155"/>
        <w:gridCol w:w="2610"/>
        <w:gridCol w:w="2610"/>
        <w:gridCol w:w="2610"/>
      </w:tblGrid>
      <w:tr w:rsidR="005C4F8C" w:rsidRPr="002F6713" w14:paraId="7B12BF59" w14:textId="77777777" w:rsidTr="002F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512373"/>
          </w:tcPr>
          <w:p w14:paraId="29D2CA31" w14:textId="03C30C63" w:rsidR="003F3E2F" w:rsidRPr="002F6713" w:rsidRDefault="004903EB" w:rsidP="003F3E2F">
            <w:pPr>
              <w:rPr>
                <w:rFonts w:cs="Arial"/>
                <w:color w:val="FFFFFF" w:themeColor="background1"/>
                <w:sz w:val="21"/>
                <w:szCs w:val="21"/>
              </w:rPr>
            </w:pPr>
            <w:r w:rsidRPr="002F6713">
              <w:rPr>
                <w:rFonts w:cs="Arial"/>
                <w:color w:val="FFFFFF" w:themeColor="background1"/>
                <w:sz w:val="21"/>
                <w:szCs w:val="21"/>
              </w:rPr>
              <w:t>Guidance Levels</w:t>
            </w:r>
          </w:p>
        </w:tc>
        <w:tc>
          <w:tcPr>
            <w:tcW w:w="2610" w:type="dxa"/>
            <w:shd w:val="clear" w:color="auto" w:fill="512373"/>
            <w:hideMark/>
          </w:tcPr>
          <w:p w14:paraId="16A37C91" w14:textId="32565676" w:rsidR="003F3E2F" w:rsidRPr="002F6713" w:rsidRDefault="004903EB" w:rsidP="003F3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1"/>
                <w:szCs w:val="21"/>
              </w:rPr>
            </w:pPr>
            <w:r w:rsidRPr="002F6713">
              <w:rPr>
                <w:rFonts w:cs="Arial"/>
                <w:color w:val="FFFFFF" w:themeColor="background1"/>
                <w:sz w:val="21"/>
                <w:szCs w:val="21"/>
              </w:rPr>
              <w:t>Self-Guidance</w:t>
            </w:r>
          </w:p>
        </w:tc>
        <w:tc>
          <w:tcPr>
            <w:tcW w:w="2610" w:type="dxa"/>
            <w:shd w:val="clear" w:color="auto" w:fill="512373"/>
          </w:tcPr>
          <w:p w14:paraId="18EE7416" w14:textId="6731BBF2" w:rsidR="003F3E2F" w:rsidRPr="002F6713" w:rsidRDefault="004903EB" w:rsidP="003F3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1"/>
                <w:szCs w:val="21"/>
              </w:rPr>
            </w:pPr>
            <w:r w:rsidRPr="002F6713">
              <w:rPr>
                <w:rFonts w:cs="Arial"/>
                <w:color w:val="FFFFFF" w:themeColor="background1"/>
                <w:sz w:val="21"/>
                <w:szCs w:val="21"/>
              </w:rPr>
              <w:t>Limited Guidance</w:t>
            </w:r>
          </w:p>
        </w:tc>
        <w:tc>
          <w:tcPr>
            <w:tcW w:w="2610" w:type="dxa"/>
            <w:shd w:val="clear" w:color="auto" w:fill="512373"/>
            <w:hideMark/>
          </w:tcPr>
          <w:p w14:paraId="0EE82652" w14:textId="2BE1E82B" w:rsidR="003F3E2F" w:rsidRPr="002F6713" w:rsidRDefault="004903EB" w:rsidP="003F3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FFFFFF" w:themeColor="background1"/>
                <w:sz w:val="21"/>
                <w:szCs w:val="21"/>
              </w:rPr>
            </w:pPr>
            <w:r w:rsidRPr="002F6713">
              <w:rPr>
                <w:rFonts w:cs="Arial"/>
                <w:color w:val="FFFFFF" w:themeColor="background1"/>
                <w:sz w:val="21"/>
                <w:szCs w:val="21"/>
              </w:rPr>
              <w:t>Comprehensive Guidance</w:t>
            </w:r>
          </w:p>
        </w:tc>
      </w:tr>
      <w:tr w:rsidR="00D11F97" w:rsidRPr="002F6713" w14:paraId="54E1A0B2" w14:textId="77777777" w:rsidTr="002F6713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512373"/>
          </w:tcPr>
          <w:p w14:paraId="1943B5F1" w14:textId="362744AC" w:rsidR="003F3E2F" w:rsidRPr="002F6713" w:rsidRDefault="004D46B0" w:rsidP="003F3E2F">
            <w:pPr>
              <w:rPr>
                <w:rFonts w:cs="Arial"/>
                <w:color w:val="FFFFFF" w:themeColor="background1"/>
                <w:sz w:val="21"/>
                <w:szCs w:val="21"/>
              </w:rPr>
            </w:pPr>
            <w:r w:rsidRPr="002F6713">
              <w:rPr>
                <w:rFonts w:cs="Arial"/>
                <w:color w:val="FFFFFF" w:themeColor="background1"/>
                <w:sz w:val="21"/>
                <w:szCs w:val="21"/>
              </w:rPr>
              <w:t>Budget</w:t>
            </w:r>
          </w:p>
        </w:tc>
        <w:tc>
          <w:tcPr>
            <w:tcW w:w="2610" w:type="dxa"/>
            <w:shd w:val="clear" w:color="auto" w:fill="512373"/>
          </w:tcPr>
          <w:p w14:paraId="55A794B9" w14:textId="3185BFE5" w:rsidR="003F3E2F" w:rsidRPr="002F6713" w:rsidRDefault="00BB6864" w:rsidP="003F3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 xml:space="preserve">&lt; </w:t>
            </w:r>
            <w:r w:rsidR="003F3E2F"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$</w:t>
            </w:r>
            <w:r w:rsidR="000816B1"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10,000</w:t>
            </w:r>
          </w:p>
        </w:tc>
        <w:tc>
          <w:tcPr>
            <w:tcW w:w="2610" w:type="dxa"/>
            <w:shd w:val="clear" w:color="auto" w:fill="512373"/>
          </w:tcPr>
          <w:p w14:paraId="19016390" w14:textId="7FB9CF19" w:rsidR="003F3E2F" w:rsidRPr="002F6713" w:rsidRDefault="003F3E2F" w:rsidP="003F3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$</w:t>
            </w:r>
            <w:r w:rsidR="000816B1"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10</w:t>
            </w:r>
            <w:r w:rsidR="00E00E83"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,</w:t>
            </w:r>
            <w:r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00</w:t>
            </w:r>
            <w:r w:rsidR="000816B1"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BB6864"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—</w:t>
            </w:r>
            <w:r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$</w:t>
            </w:r>
            <w:r w:rsidR="000816B1"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49,999</w:t>
            </w:r>
          </w:p>
        </w:tc>
        <w:tc>
          <w:tcPr>
            <w:tcW w:w="2610" w:type="dxa"/>
            <w:shd w:val="clear" w:color="auto" w:fill="512373"/>
          </w:tcPr>
          <w:p w14:paraId="1308D50A" w14:textId="196B03BA" w:rsidR="003F3E2F" w:rsidRPr="002F6713" w:rsidRDefault="003F3E2F" w:rsidP="003F3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$</w:t>
            </w:r>
            <w:r w:rsidR="000816B1"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50,000</w:t>
            </w:r>
            <w:r w:rsidR="00BB6864"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+</w:t>
            </w:r>
            <w:r w:rsidRPr="002F6713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 xml:space="preserve">  </w:t>
            </w:r>
          </w:p>
        </w:tc>
      </w:tr>
      <w:tr w:rsidR="00FD6D6B" w:rsidRPr="002F6713" w14:paraId="37EE1306" w14:textId="77777777" w:rsidTr="003E303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DEDED" w:themeFill="accent3" w:themeFillTint="33"/>
            <w:vAlign w:val="center"/>
          </w:tcPr>
          <w:p w14:paraId="6EDEB21D" w14:textId="488E6701" w:rsidR="00FD6D6B" w:rsidRPr="002F6713" w:rsidRDefault="001260F2" w:rsidP="004D46B0">
            <w:pPr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C</w:t>
            </w:r>
            <w:r w:rsidR="00FD6D6B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onsult with CTSI’s Recruitment &amp; Retention </w:t>
            </w:r>
            <w:r w:rsidR="00BB6864" w:rsidRPr="002F6713">
              <w:rPr>
                <w:rFonts w:cs="Arial"/>
                <w:color w:val="000000" w:themeColor="text1"/>
                <w:sz w:val="21"/>
                <w:szCs w:val="21"/>
              </w:rPr>
              <w:t>C</w:t>
            </w:r>
            <w:r w:rsidR="00FD6D6B" w:rsidRPr="002F6713">
              <w:rPr>
                <w:rFonts w:cs="Arial"/>
                <w:color w:val="000000" w:themeColor="text1"/>
                <w:sz w:val="21"/>
                <w:szCs w:val="21"/>
              </w:rPr>
              <w:t>ore</w:t>
            </w:r>
          </w:p>
          <w:p w14:paraId="7064007D" w14:textId="6D619A43" w:rsidR="00FD6D6B" w:rsidRPr="002F6713" w:rsidRDefault="00FD6D6B" w:rsidP="004D46B0">
            <w:pPr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  <w:t>(</w:t>
            </w:r>
            <w:r w:rsidR="000816B1" w:rsidRPr="002F6713"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  <w:t>Including</w:t>
            </w:r>
            <w:r w:rsidR="0016388C" w:rsidRPr="002F6713"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2F6713"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  <w:t>referrals to ResearchMatch, MCIT, EPIC, and MyChart)</w:t>
            </w:r>
          </w:p>
        </w:tc>
        <w:tc>
          <w:tcPr>
            <w:tcW w:w="2610" w:type="dxa"/>
            <w:vAlign w:val="center"/>
          </w:tcPr>
          <w:p w14:paraId="4773A249" w14:textId="77777777" w:rsidR="00FD6D6B" w:rsidRPr="002F6713" w:rsidRDefault="00FD6D6B" w:rsidP="004D4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Optional</w:t>
            </w:r>
          </w:p>
        </w:tc>
        <w:tc>
          <w:tcPr>
            <w:tcW w:w="2610" w:type="dxa"/>
            <w:vAlign w:val="center"/>
          </w:tcPr>
          <w:p w14:paraId="3A25B37F" w14:textId="4E7C8903" w:rsidR="00FD6D6B" w:rsidRPr="002F6713" w:rsidRDefault="00FD6D6B" w:rsidP="004D4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Strongly </w:t>
            </w:r>
            <w:r w:rsidR="00BB6864" w:rsidRPr="002F6713">
              <w:rPr>
                <w:rFonts w:cs="Arial"/>
                <w:color w:val="000000" w:themeColor="text1"/>
                <w:sz w:val="21"/>
                <w:szCs w:val="21"/>
              </w:rPr>
              <w:br/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Recommended</w:t>
            </w:r>
          </w:p>
        </w:tc>
        <w:tc>
          <w:tcPr>
            <w:tcW w:w="2610" w:type="dxa"/>
            <w:vAlign w:val="center"/>
          </w:tcPr>
          <w:p w14:paraId="5363D4F8" w14:textId="0D3FC6FC" w:rsidR="00FD6D6B" w:rsidRPr="002F6713" w:rsidRDefault="005D7ECE" w:rsidP="004D4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Strongly 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br/>
              <w:t>Recommended</w:t>
            </w:r>
          </w:p>
        </w:tc>
      </w:tr>
      <w:tr w:rsidR="00FD6D6B" w:rsidRPr="002F6713" w14:paraId="7BFFFD47" w14:textId="77777777" w:rsidTr="003E303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DEDED" w:themeFill="accent3" w:themeFillTint="33"/>
            <w:vAlign w:val="center"/>
          </w:tcPr>
          <w:p w14:paraId="435C9A5B" w14:textId="04C69622" w:rsidR="00FD6D6B" w:rsidRPr="002F6713" w:rsidRDefault="00FD6D6B" w:rsidP="004D46B0">
            <w:pPr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Marketing consultation with a member of </w:t>
            </w:r>
            <w:r w:rsidR="00A2148B" w:rsidRPr="002F6713">
              <w:rPr>
                <w:rFonts w:cs="Arial"/>
                <w:color w:val="000000" w:themeColor="text1"/>
                <w:sz w:val="21"/>
                <w:szCs w:val="21"/>
              </w:rPr>
              <w:lastRenderedPageBreak/>
              <w:t>C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ommunications &amp; </w:t>
            </w:r>
            <w:r w:rsidR="00A2148B" w:rsidRPr="002F6713">
              <w:rPr>
                <w:rFonts w:cs="Arial"/>
                <w:color w:val="000000" w:themeColor="text1"/>
                <w:sz w:val="21"/>
                <w:szCs w:val="21"/>
              </w:rPr>
              <w:t>M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arketing</w:t>
            </w:r>
          </w:p>
        </w:tc>
        <w:tc>
          <w:tcPr>
            <w:tcW w:w="2610" w:type="dxa"/>
            <w:vAlign w:val="center"/>
          </w:tcPr>
          <w:p w14:paraId="0EA552BD" w14:textId="74C0F9D3" w:rsidR="004D46B0" w:rsidRPr="002F6713" w:rsidRDefault="000816B1" w:rsidP="004D4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lastRenderedPageBreak/>
              <w:t>N/</w:t>
            </w:r>
            <w:r w:rsidR="004D46B0" w:rsidRPr="002F6713">
              <w:rPr>
                <w:rFonts w:cs="Arial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2610" w:type="dxa"/>
            <w:vAlign w:val="center"/>
          </w:tcPr>
          <w:p w14:paraId="4D3FC8D9" w14:textId="5ED1509C" w:rsidR="00612DF3" w:rsidRPr="002F6713" w:rsidRDefault="004D46B0" w:rsidP="004D4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B</w:t>
            </w:r>
            <w:r w:rsidR="00FD6D6B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asic consult </w:t>
            </w:r>
            <w:r w:rsidR="0069130C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&amp; 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br/>
            </w:r>
            <w:r w:rsidR="00FD6D6B" w:rsidRPr="002F6713">
              <w:rPr>
                <w:rFonts w:cs="Arial"/>
                <w:color w:val="000000" w:themeColor="text1"/>
                <w:sz w:val="21"/>
                <w:szCs w:val="21"/>
              </w:rPr>
              <w:t>review</w:t>
            </w:r>
          </w:p>
        </w:tc>
        <w:tc>
          <w:tcPr>
            <w:tcW w:w="2610" w:type="dxa"/>
            <w:vAlign w:val="center"/>
          </w:tcPr>
          <w:p w14:paraId="749E67C6" w14:textId="78A0545C" w:rsidR="00FD6D6B" w:rsidRPr="002F6713" w:rsidRDefault="0080391F" w:rsidP="004D4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Comprehensive </w:t>
            </w:r>
            <w:r w:rsidR="00A0184B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consult and </w:t>
            </w:r>
            <w:r w:rsidR="00FD6D6B" w:rsidRPr="002F6713">
              <w:rPr>
                <w:rFonts w:cs="Arial"/>
                <w:color w:val="000000" w:themeColor="text1"/>
                <w:sz w:val="21"/>
                <w:szCs w:val="21"/>
              </w:rPr>
              <w:t>guided support</w:t>
            </w:r>
          </w:p>
        </w:tc>
      </w:tr>
      <w:tr w:rsidR="00FD6D6B" w:rsidRPr="002F6713" w14:paraId="196A885F" w14:textId="77777777" w:rsidTr="002F6713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DEDED" w:themeFill="accent3" w:themeFillTint="33"/>
            <w:vAlign w:val="center"/>
            <w:hideMark/>
          </w:tcPr>
          <w:p w14:paraId="5911394B" w14:textId="682E55EC" w:rsidR="0069130C" w:rsidRPr="002F6713" w:rsidRDefault="00FD6D6B" w:rsidP="005E408E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Flyer and/or </w:t>
            </w:r>
            <w:r w:rsidR="004D46B0" w:rsidRPr="002F6713">
              <w:rPr>
                <w:rFonts w:cs="Arial"/>
                <w:color w:val="000000" w:themeColor="text1"/>
                <w:sz w:val="21"/>
                <w:szCs w:val="21"/>
              </w:rPr>
              <w:t>Newspaper Print Ad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04CFDE85" w14:textId="77777777" w:rsidR="00FD6D6B" w:rsidRPr="002F6713" w:rsidRDefault="00FD6D6B" w:rsidP="005E408E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30BBC940" w14:textId="114133FC" w:rsidR="00FD6D6B" w:rsidRPr="002F6713" w:rsidRDefault="00FD6D6B" w:rsidP="005E4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NYU Langone </w:t>
            </w:r>
            <w:r w:rsidR="004D46B0" w:rsidRPr="002F6713">
              <w:rPr>
                <w:rFonts w:cs="Arial"/>
                <w:color w:val="000000" w:themeColor="text1"/>
                <w:sz w:val="21"/>
                <w:szCs w:val="21"/>
              </w:rPr>
              <w:t>P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rint </w:t>
            </w:r>
            <w:r w:rsidR="004D46B0" w:rsidRPr="002F6713">
              <w:rPr>
                <w:rFonts w:cs="Arial"/>
                <w:color w:val="000000" w:themeColor="text1"/>
                <w:sz w:val="21"/>
                <w:szCs w:val="21"/>
              </w:rPr>
              <w:t>S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hop </w:t>
            </w:r>
            <w:r w:rsidR="004D46B0" w:rsidRPr="002F6713">
              <w:rPr>
                <w:rFonts w:cs="Arial"/>
                <w:color w:val="000000" w:themeColor="text1"/>
                <w:sz w:val="21"/>
                <w:szCs w:val="21"/>
              </w:rPr>
              <w:t>D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esigners </w:t>
            </w:r>
            <w:r w:rsidR="004D46B0" w:rsidRPr="002F6713">
              <w:rPr>
                <w:rFonts w:cs="Arial"/>
                <w:color w:val="000000" w:themeColor="text1"/>
                <w:sz w:val="21"/>
                <w:szCs w:val="21"/>
              </w:rPr>
              <w:br/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(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>H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ourly rate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, 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IOI requ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>ired)</w:t>
            </w:r>
          </w:p>
        </w:tc>
        <w:tc>
          <w:tcPr>
            <w:tcW w:w="2610" w:type="dxa"/>
            <w:vAlign w:val="center"/>
          </w:tcPr>
          <w:p w14:paraId="2565BB6F" w14:textId="32DA63C5" w:rsidR="00FD6D6B" w:rsidRPr="002F6713" w:rsidRDefault="00612DF3" w:rsidP="005E4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NYU Langone Print Shop Designers 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br/>
              <w:t>(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>H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ourly rate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>,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IOI required)</w:t>
            </w:r>
          </w:p>
        </w:tc>
        <w:tc>
          <w:tcPr>
            <w:tcW w:w="2610" w:type="dxa"/>
            <w:vAlign w:val="center"/>
          </w:tcPr>
          <w:p w14:paraId="4FD78087" w14:textId="24569C47" w:rsidR="00FD6D6B" w:rsidRPr="002F6713" w:rsidRDefault="00612DF3" w:rsidP="005E4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NYU Langone Print Shop Designers 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br/>
              <w:t>(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>H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ourly rate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>,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IOI required)</w:t>
            </w:r>
          </w:p>
        </w:tc>
        <w:bookmarkStart w:id="0" w:name="_GoBack"/>
        <w:bookmarkEnd w:id="0"/>
      </w:tr>
      <w:tr w:rsidR="00FD6D6B" w:rsidRPr="002F6713" w14:paraId="36378844" w14:textId="77777777" w:rsidTr="003E3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DEDED" w:themeFill="accent3" w:themeFillTint="33"/>
            <w:vAlign w:val="center"/>
          </w:tcPr>
          <w:p w14:paraId="26FE695F" w14:textId="197B2204" w:rsidR="00FD6D6B" w:rsidRPr="002F6713" w:rsidRDefault="00FD6D6B" w:rsidP="002F6713">
            <w:pPr>
              <w:spacing w:after="0" w:line="240" w:lineRule="auto"/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Organic 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>Social Media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  <w:r w:rsidR="00A02D5E" w:rsidRPr="002F6713">
              <w:rPr>
                <w:rFonts w:cs="Arial"/>
                <w:color w:val="000000" w:themeColor="text1"/>
                <w:sz w:val="21"/>
                <w:szCs w:val="21"/>
              </w:rPr>
              <w:t>(</w:t>
            </w:r>
            <w:r w:rsidR="00E704BB" w:rsidRPr="002F6713">
              <w:rPr>
                <w:rFonts w:cs="Arial"/>
                <w:color w:val="000000" w:themeColor="text1"/>
                <w:sz w:val="21"/>
                <w:szCs w:val="21"/>
              </w:rPr>
              <w:t>Social posts that are not</w:t>
            </w:r>
            <w:r w:rsidR="00A02D5E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paid)</w:t>
            </w:r>
          </w:p>
        </w:tc>
        <w:tc>
          <w:tcPr>
            <w:tcW w:w="2610" w:type="dxa"/>
            <w:vAlign w:val="center"/>
          </w:tcPr>
          <w:p w14:paraId="2C924A96" w14:textId="22455181" w:rsidR="00FD6D6B" w:rsidRPr="002F6713" w:rsidRDefault="00FD6D6B" w:rsidP="0061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If department/division has an approved social media channel, 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the 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trial team can post IRB-approved </w:t>
            </w:r>
            <w:r w:rsidR="003E3039" w:rsidRPr="002F6713">
              <w:rPr>
                <w:rFonts w:cs="Arial"/>
                <w:color w:val="000000" w:themeColor="text1"/>
                <w:sz w:val="21"/>
                <w:szCs w:val="21"/>
              </w:rPr>
              <w:t>materials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on those channels</w:t>
            </w:r>
            <w:r w:rsidR="00612DF3" w:rsidRPr="002F6713">
              <w:rPr>
                <w:rFonts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10" w:type="dxa"/>
            <w:vAlign w:val="center"/>
          </w:tcPr>
          <w:p w14:paraId="7F6653C9" w14:textId="052E8B0C" w:rsidR="00FD6D6B" w:rsidRPr="002F6713" w:rsidRDefault="00612DF3" w:rsidP="0061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If department/division has an approved social media channel, 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the 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trial team can post IRB-approved </w:t>
            </w:r>
            <w:r w:rsidR="003E3039" w:rsidRPr="002F6713">
              <w:rPr>
                <w:rFonts w:cs="Arial"/>
                <w:color w:val="000000" w:themeColor="text1"/>
                <w:sz w:val="21"/>
                <w:szCs w:val="21"/>
              </w:rPr>
              <w:t>materials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on those channels.</w:t>
            </w:r>
          </w:p>
        </w:tc>
        <w:tc>
          <w:tcPr>
            <w:tcW w:w="2610" w:type="dxa"/>
            <w:vAlign w:val="center"/>
          </w:tcPr>
          <w:p w14:paraId="3829CA02" w14:textId="0F9B7547" w:rsidR="00FD6D6B" w:rsidRPr="002F6713" w:rsidRDefault="00612DF3" w:rsidP="0061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If department/division has an approved social media channel, </w:t>
            </w:r>
            <w:r w:rsidR="005E408E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the 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trial team can post IRB-approved </w:t>
            </w:r>
            <w:r w:rsidR="003E3039" w:rsidRPr="002F6713">
              <w:rPr>
                <w:rFonts w:cs="Arial"/>
                <w:color w:val="000000" w:themeColor="text1"/>
                <w:sz w:val="21"/>
                <w:szCs w:val="21"/>
              </w:rPr>
              <w:t>materials on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those channels.</w:t>
            </w:r>
          </w:p>
        </w:tc>
      </w:tr>
      <w:tr w:rsidR="00A2148B" w:rsidRPr="002F6713" w14:paraId="3566C249" w14:textId="77777777" w:rsidTr="003E3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DEDED" w:themeFill="accent3" w:themeFillTint="33"/>
          </w:tcPr>
          <w:p w14:paraId="5904D39E" w14:textId="62897FD4" w:rsidR="00A2148B" w:rsidRPr="002F6713" w:rsidRDefault="00A2148B" w:rsidP="00A2148B">
            <w:pPr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Paid social media and/or other digital advertising</w:t>
            </w:r>
          </w:p>
        </w:tc>
        <w:tc>
          <w:tcPr>
            <w:tcW w:w="2610" w:type="dxa"/>
          </w:tcPr>
          <w:p w14:paraId="0A27686E" w14:textId="5B5482A6" w:rsidR="00A2148B" w:rsidRPr="002F6713" w:rsidRDefault="00A2148B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Use a 3</w:t>
            </w:r>
            <w:r w:rsidRPr="002F6713">
              <w:rPr>
                <w:rFonts w:cs="Arial"/>
                <w:color w:val="000000" w:themeColor="text1"/>
                <w:sz w:val="21"/>
                <w:szCs w:val="21"/>
                <w:vertAlign w:val="superscript"/>
              </w:rPr>
              <w:t>rd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party clinical trial recruitment agency </w:t>
            </w:r>
          </w:p>
          <w:p w14:paraId="70568D48" w14:textId="4B151AB1" w:rsidR="00A2148B" w:rsidRPr="002F6713" w:rsidRDefault="00A2148B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Creative must</w:t>
            </w:r>
            <w:r w:rsidR="00F970E4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follow established brand guidelines and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be approved by Communications &amp; Marketing</w:t>
            </w:r>
          </w:p>
        </w:tc>
        <w:tc>
          <w:tcPr>
            <w:tcW w:w="2610" w:type="dxa"/>
          </w:tcPr>
          <w:p w14:paraId="714025AE" w14:textId="5424F92A" w:rsidR="00A2148B" w:rsidRPr="002F6713" w:rsidRDefault="00A2148B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Use a 3</w:t>
            </w:r>
            <w:r w:rsidRPr="002F6713">
              <w:rPr>
                <w:rFonts w:cs="Arial"/>
                <w:color w:val="000000" w:themeColor="text1"/>
                <w:sz w:val="21"/>
                <w:szCs w:val="21"/>
                <w:vertAlign w:val="superscript"/>
              </w:rPr>
              <w:t>rd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party clinical trial recruitment agency </w:t>
            </w:r>
          </w:p>
          <w:p w14:paraId="4CC9EE00" w14:textId="35477DF7" w:rsidR="00A2148B" w:rsidRPr="002F6713" w:rsidRDefault="00950E30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Creative must follow established brand guidelines and be approved by Communications &amp; Marketing</w:t>
            </w:r>
          </w:p>
        </w:tc>
        <w:tc>
          <w:tcPr>
            <w:tcW w:w="2610" w:type="dxa"/>
          </w:tcPr>
          <w:p w14:paraId="6137D156" w14:textId="70BD55CA" w:rsidR="00A2148B" w:rsidRPr="002F6713" w:rsidRDefault="00A2148B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Managed by Communications &amp; Marketing in collaboration with lead contact from trial team</w:t>
            </w:r>
          </w:p>
        </w:tc>
      </w:tr>
      <w:tr w:rsidR="00A2148B" w:rsidRPr="002F6713" w14:paraId="348E1C29" w14:textId="77777777" w:rsidTr="003E3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DEDED" w:themeFill="accent3" w:themeFillTint="33"/>
          </w:tcPr>
          <w:p w14:paraId="42382F87" w14:textId="5DBC612D" w:rsidR="00A2148B" w:rsidRPr="002F6713" w:rsidRDefault="00A2148B" w:rsidP="00A2148B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Newspaper Ads (Planning, estimates, and buying) </w:t>
            </w:r>
          </w:p>
        </w:tc>
        <w:tc>
          <w:tcPr>
            <w:tcW w:w="2610" w:type="dxa"/>
          </w:tcPr>
          <w:p w14:paraId="7B4599A6" w14:textId="35BA8AF7" w:rsidR="00A2148B" w:rsidRPr="002F6713" w:rsidRDefault="00A2148B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Vendor: NY Press Services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br/>
              <w:t xml:space="preserve">Contact: Dave Worden </w:t>
            </w:r>
          </w:p>
          <w:p w14:paraId="32D9F266" w14:textId="65A4E426" w:rsidR="00A2148B" w:rsidRPr="002F6713" w:rsidRDefault="001411A3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hyperlink r:id="rId9" w:history="1">
              <w:r w:rsidR="00A2148B" w:rsidRPr="002F6713">
                <w:rPr>
                  <w:rStyle w:val="Hyperlink"/>
                  <w:rFonts w:cs="Arial"/>
                  <w:sz w:val="21"/>
                  <w:szCs w:val="21"/>
                </w:rPr>
                <w:t>https://nynewspapers.com</w:t>
              </w:r>
            </w:hyperlink>
          </w:p>
        </w:tc>
        <w:tc>
          <w:tcPr>
            <w:tcW w:w="2610" w:type="dxa"/>
          </w:tcPr>
          <w:p w14:paraId="30A58A38" w14:textId="77777777" w:rsidR="00A2148B" w:rsidRPr="002F6713" w:rsidRDefault="00A2148B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Vendor: NY Press Services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br/>
              <w:t xml:space="preserve">Contact: Dave Worden </w:t>
            </w:r>
          </w:p>
          <w:p w14:paraId="74DC9652" w14:textId="59B44A3A" w:rsidR="00A2148B" w:rsidRPr="002F6713" w:rsidRDefault="001411A3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hyperlink r:id="rId10" w:history="1">
              <w:r w:rsidR="00A2148B" w:rsidRPr="002F6713">
                <w:rPr>
                  <w:rStyle w:val="Hyperlink"/>
                  <w:rFonts w:cs="Arial"/>
                  <w:sz w:val="21"/>
                  <w:szCs w:val="21"/>
                </w:rPr>
                <w:t>https://nynewspapers.com</w:t>
              </w:r>
            </w:hyperlink>
          </w:p>
        </w:tc>
        <w:tc>
          <w:tcPr>
            <w:tcW w:w="2610" w:type="dxa"/>
          </w:tcPr>
          <w:p w14:paraId="7DC2C861" w14:textId="202C8594" w:rsidR="00A2148B" w:rsidRPr="002F6713" w:rsidRDefault="00A2148B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Managed by Communications &amp; Marketing in collaboration with lead contact from trial team</w:t>
            </w:r>
          </w:p>
        </w:tc>
      </w:tr>
      <w:tr w:rsidR="00A2148B" w:rsidRPr="002F6713" w14:paraId="724B548E" w14:textId="77777777" w:rsidTr="002F671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DEDED" w:themeFill="accent3" w:themeFillTint="33"/>
            <w:hideMark/>
          </w:tcPr>
          <w:p w14:paraId="4ADB3287" w14:textId="70A8E6BC" w:rsidR="00C06FC6" w:rsidRPr="002F6713" w:rsidRDefault="00A2148B" w:rsidP="00A2148B">
            <w:pPr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  <w:r w:rsidR="004E0251" w:rsidRPr="002F6713">
              <w:rPr>
                <w:rFonts w:cs="Arial"/>
                <w:color w:val="000000" w:themeColor="text1"/>
                <w:sz w:val="21"/>
                <w:szCs w:val="21"/>
              </w:rPr>
              <w:t xml:space="preserve">Measurement </w:t>
            </w: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Plan</w:t>
            </w:r>
            <w:r w:rsidR="00C06FC6" w:rsidRPr="002F6713">
              <w:rPr>
                <w:rFonts w:cs="Arial"/>
                <w:b w:val="0"/>
                <w:bCs w:val="0"/>
                <w:color w:val="000000" w:themeColor="text1"/>
                <w:sz w:val="21"/>
                <w:szCs w:val="21"/>
              </w:rPr>
              <w:br/>
            </w:r>
            <w:r w:rsidR="00C06FC6" w:rsidRPr="002F6713">
              <w:rPr>
                <w:rFonts w:cs="Arial"/>
                <w:color w:val="000000" w:themeColor="text1"/>
                <w:sz w:val="21"/>
                <w:szCs w:val="21"/>
              </w:rPr>
              <w:t>(How success will be measured)</w:t>
            </w:r>
          </w:p>
        </w:tc>
        <w:tc>
          <w:tcPr>
            <w:tcW w:w="2610" w:type="dxa"/>
            <w:hideMark/>
          </w:tcPr>
          <w:p w14:paraId="562E3285" w14:textId="06A09B97" w:rsidR="00A2148B" w:rsidRPr="002F6713" w:rsidRDefault="00E55DCC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Recommended</w:t>
            </w:r>
          </w:p>
        </w:tc>
        <w:tc>
          <w:tcPr>
            <w:tcW w:w="2610" w:type="dxa"/>
          </w:tcPr>
          <w:p w14:paraId="4554EB1D" w14:textId="1AA8B3D5" w:rsidR="00A2148B" w:rsidRPr="002F6713" w:rsidRDefault="00C06FC6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Recommended</w:t>
            </w:r>
          </w:p>
        </w:tc>
        <w:tc>
          <w:tcPr>
            <w:tcW w:w="2610" w:type="dxa"/>
            <w:hideMark/>
          </w:tcPr>
          <w:p w14:paraId="65CC865C" w14:textId="5507BDD5" w:rsidR="00A2148B" w:rsidRPr="002F6713" w:rsidRDefault="00C06FC6" w:rsidP="00A2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2F6713">
              <w:rPr>
                <w:rFonts w:cs="Arial"/>
                <w:color w:val="000000" w:themeColor="text1"/>
                <w:sz w:val="21"/>
                <w:szCs w:val="21"/>
              </w:rPr>
              <w:t>Recommended</w:t>
            </w:r>
          </w:p>
        </w:tc>
      </w:tr>
    </w:tbl>
    <w:p w14:paraId="502587E4" w14:textId="786D0C98" w:rsidR="001A6FFF" w:rsidRPr="002F6713" w:rsidRDefault="002F6713" w:rsidP="001A6FFF">
      <w:pPr>
        <w:rPr>
          <w:rFonts w:cs="Arial"/>
          <w:b/>
          <w:bCs/>
          <w:color w:val="7030A0"/>
          <w:sz w:val="28"/>
          <w:szCs w:val="28"/>
        </w:rPr>
      </w:pPr>
      <w:r>
        <w:rPr>
          <w:rFonts w:cs="Arial"/>
          <w:b/>
          <w:bCs/>
          <w:color w:val="7030A0"/>
          <w:sz w:val="12"/>
          <w:szCs w:val="28"/>
        </w:rPr>
        <w:br/>
      </w:r>
      <w:r w:rsidR="001A6FFF" w:rsidRPr="002F6713">
        <w:rPr>
          <w:rFonts w:cs="Arial"/>
          <w:b/>
          <w:bCs/>
          <w:color w:val="7030A0"/>
          <w:sz w:val="28"/>
          <w:szCs w:val="28"/>
        </w:rPr>
        <w:t xml:space="preserve">Frequently Asked Questions </w:t>
      </w:r>
    </w:p>
    <w:p w14:paraId="4ADB1CA1" w14:textId="77777777" w:rsidR="001A6FFF" w:rsidRPr="002F6713" w:rsidRDefault="001A6FFF" w:rsidP="001A6FF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What is the typical cost for clinical trial advertising? </w:t>
      </w:r>
      <w:r w:rsidRPr="002F6713">
        <w:rPr>
          <w:rFonts w:ascii="Arial" w:eastAsia="Times New Roman" w:hAnsi="Arial" w:cs="Arial"/>
          <w:sz w:val="20"/>
          <w:szCs w:val="20"/>
        </w:rPr>
        <w:t xml:space="preserve">Costs vary greatly depending on a number of factors such as target audience, recruitment goals, length of time, and chosen platform(s). </w:t>
      </w:r>
      <w:r w:rsidRPr="002F6713">
        <w:rPr>
          <w:rFonts w:ascii="Arial" w:hAnsi="Arial" w:cs="Arial"/>
          <w:sz w:val="20"/>
          <w:szCs w:val="20"/>
        </w:rPr>
        <w:br/>
      </w:r>
    </w:p>
    <w:p w14:paraId="4362CCD9" w14:textId="2C153729" w:rsidR="001A6FFF" w:rsidRPr="002F6713" w:rsidRDefault="00550855" w:rsidP="00BB764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Are there </w:t>
      </w:r>
      <w:r w:rsidR="001A6FFF" w:rsidRPr="002F6713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="001A6FFF" w:rsidRPr="002F6713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rd</w:t>
      </w:r>
      <w:r w:rsidR="001A6FFF"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 party clinical trial recruitment agencies </w:t>
      </w: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that </w:t>
      </w:r>
      <w:r w:rsidR="001A6FFF"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I able to use? </w:t>
      </w:r>
      <w:r w:rsidR="001A6FFF" w:rsidRPr="002F6713">
        <w:rPr>
          <w:rFonts w:ascii="Arial" w:eastAsia="Times New Roman" w:hAnsi="Arial" w:cs="Arial"/>
          <w:sz w:val="20"/>
          <w:szCs w:val="20"/>
        </w:rPr>
        <w:t xml:space="preserve">There are vendors </w:t>
      </w:r>
      <w:r w:rsidRPr="002F6713">
        <w:rPr>
          <w:rFonts w:ascii="Arial" w:eastAsia="Times New Roman" w:hAnsi="Arial" w:cs="Arial"/>
          <w:sz w:val="20"/>
          <w:szCs w:val="20"/>
        </w:rPr>
        <w:t>that NYU Langone has certain already approved and may be found in PeopleSoft Financials</w:t>
      </w:r>
      <w:r w:rsidR="001A6FFF" w:rsidRPr="002F6713">
        <w:rPr>
          <w:rFonts w:ascii="Arial" w:eastAsia="Times New Roman" w:hAnsi="Arial" w:cs="Arial"/>
          <w:sz w:val="20"/>
          <w:szCs w:val="20"/>
        </w:rPr>
        <w:t>. These vendors aren’t endorsed or managed by Communications &amp; Marketing or OSR, but are already in the supplier system and may have recruitment solutions, for a cost.</w:t>
      </w:r>
      <w:r w:rsidR="002F6713" w:rsidRPr="002F6713"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2914EC87" w14:textId="3F9F0B4E" w:rsidR="00500111" w:rsidRPr="002F6713" w:rsidRDefault="007E2E86" w:rsidP="001A6FF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2F6713">
        <w:rPr>
          <w:rFonts w:ascii="Arial" w:eastAsia="Times New Roman" w:hAnsi="Arial" w:cs="Arial"/>
          <w:b/>
          <w:bCs/>
          <w:sz w:val="20"/>
          <w:szCs w:val="20"/>
        </w:rPr>
        <w:t xml:space="preserve">Are there guidelines for creative assets? </w:t>
      </w:r>
      <w:r w:rsidRPr="002F6713">
        <w:rPr>
          <w:rFonts w:ascii="Arial" w:eastAsia="Times New Roman" w:hAnsi="Arial" w:cs="Arial"/>
          <w:sz w:val="20"/>
          <w:szCs w:val="20"/>
        </w:rPr>
        <w:t xml:space="preserve">Yes. </w:t>
      </w:r>
      <w:r w:rsidR="001B67AC" w:rsidRPr="002F6713">
        <w:rPr>
          <w:rFonts w:ascii="Arial" w:eastAsia="Times New Roman" w:hAnsi="Arial" w:cs="Arial"/>
          <w:sz w:val="20"/>
          <w:szCs w:val="20"/>
        </w:rPr>
        <w:t xml:space="preserve">If you are creating your own materials, you are required to follow brand guidelines as outlined on the </w:t>
      </w:r>
      <w:hyperlink r:id="rId11" w:history="1">
        <w:r w:rsidR="00861AF4" w:rsidRPr="002F6713">
          <w:rPr>
            <w:rStyle w:val="Hyperlink"/>
            <w:rFonts w:ascii="Arial" w:eastAsia="Times New Roman" w:hAnsi="Arial" w:cs="Arial"/>
            <w:sz w:val="20"/>
            <w:szCs w:val="20"/>
          </w:rPr>
          <w:t>NYU Langone Health Brand Center</w:t>
        </w:r>
      </w:hyperlink>
      <w:r w:rsidR="007C3ACB" w:rsidRPr="002F6713">
        <w:rPr>
          <w:rFonts w:ascii="Arial" w:eastAsia="Times New Roman" w:hAnsi="Arial" w:cs="Arial"/>
          <w:sz w:val="20"/>
          <w:szCs w:val="20"/>
        </w:rPr>
        <w:t>.</w:t>
      </w:r>
    </w:p>
    <w:p w14:paraId="22C2C143" w14:textId="77777777" w:rsidR="00500111" w:rsidRPr="002F6713" w:rsidRDefault="00500111" w:rsidP="00505A66">
      <w:pPr>
        <w:pStyle w:val="ListParagraph"/>
        <w:rPr>
          <w:rFonts w:cs="Arial"/>
          <w:b/>
          <w:bCs/>
          <w:sz w:val="12"/>
          <w:szCs w:val="12"/>
        </w:rPr>
      </w:pPr>
    </w:p>
    <w:p w14:paraId="0B8032B2" w14:textId="55E78D96" w:rsidR="001A6FFF" w:rsidRPr="002F6713" w:rsidRDefault="001A6FFF" w:rsidP="001A6FF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2F6713">
        <w:rPr>
          <w:rFonts w:ascii="Arial" w:hAnsi="Arial" w:cs="Arial"/>
          <w:b/>
          <w:bCs/>
          <w:sz w:val="20"/>
        </w:rPr>
        <w:t xml:space="preserve">How do I begin the consideration process? </w:t>
      </w:r>
      <w:r w:rsidRPr="002F6713">
        <w:rPr>
          <w:rFonts w:ascii="Arial" w:hAnsi="Arial" w:cs="Arial"/>
          <w:sz w:val="20"/>
        </w:rPr>
        <w:t xml:space="preserve">Please fill out the </w:t>
      </w:r>
      <w:hyperlink r:id="rId12" w:history="1">
        <w:r w:rsidRPr="002F6713">
          <w:rPr>
            <w:rStyle w:val="Hyperlink"/>
            <w:rFonts w:ascii="Arial" w:hAnsi="Arial" w:cs="Arial"/>
            <w:sz w:val="20"/>
          </w:rPr>
          <w:t>clinical trials advertising request form</w:t>
        </w:r>
      </w:hyperlink>
      <w:r w:rsidRPr="002F6713">
        <w:rPr>
          <w:rFonts w:ascii="Arial" w:hAnsi="Arial" w:cs="Arial"/>
          <w:sz w:val="20"/>
        </w:rPr>
        <w:t xml:space="preserve">, located </w:t>
      </w:r>
      <w:r w:rsidR="0088385C" w:rsidRPr="002F6713">
        <w:rPr>
          <w:rFonts w:ascii="Arial" w:hAnsi="Arial" w:cs="Arial"/>
          <w:sz w:val="20"/>
        </w:rPr>
        <w:t xml:space="preserve">in the </w:t>
      </w:r>
      <w:r w:rsidR="00DB2FCE" w:rsidRPr="002F6713">
        <w:rPr>
          <w:rFonts w:ascii="Arial" w:hAnsi="Arial" w:cs="Arial"/>
          <w:sz w:val="20"/>
        </w:rPr>
        <w:t>MCIT End User Service Catalog</w:t>
      </w:r>
      <w:r w:rsidRPr="002F6713">
        <w:rPr>
          <w:rFonts w:ascii="Arial" w:hAnsi="Arial" w:cs="Arial"/>
          <w:sz w:val="20"/>
        </w:rPr>
        <w:t>, and your request will be routed accordingly.</w:t>
      </w:r>
    </w:p>
    <w:sectPr w:rsidR="001A6FFF" w:rsidRPr="002F6713" w:rsidSect="002F6713">
      <w:headerReference w:type="default" r:id="rId13"/>
      <w:footerReference w:type="default" r:id="rId14"/>
      <w:headerReference w:type="first" r:id="rId15"/>
      <w:footerReference w:type="first" r:id="rId16"/>
      <w:pgSz w:w="1360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0D0F" w14:textId="77777777" w:rsidR="001411A3" w:rsidRDefault="001411A3" w:rsidP="00CC4A91">
      <w:pPr>
        <w:spacing w:after="0" w:line="240" w:lineRule="auto"/>
      </w:pPr>
      <w:r>
        <w:separator/>
      </w:r>
    </w:p>
  </w:endnote>
  <w:endnote w:type="continuationSeparator" w:id="0">
    <w:p w14:paraId="43EA59ED" w14:textId="77777777" w:rsidR="001411A3" w:rsidRDefault="001411A3" w:rsidP="00CC4A91">
      <w:pPr>
        <w:spacing w:after="0" w:line="240" w:lineRule="auto"/>
      </w:pPr>
      <w:r>
        <w:continuationSeparator/>
      </w:r>
    </w:p>
  </w:endnote>
  <w:endnote w:type="continuationNotice" w:id="1">
    <w:p w14:paraId="67E94B7C" w14:textId="77777777" w:rsidR="001411A3" w:rsidRDefault="00141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8AE32" w14:textId="2B5E13B7" w:rsidR="002F6713" w:rsidRPr="002F6713" w:rsidRDefault="001411A3" w:rsidP="002F6713">
    <w:pPr>
      <w:pBdr>
        <w:top w:val="single" w:sz="4" w:space="1" w:color="5A4195"/>
      </w:pBdr>
      <w:tabs>
        <w:tab w:val="right" w:pos="10800"/>
      </w:tabs>
      <w:spacing w:before="240"/>
      <w:jc w:val="center"/>
      <w:rPr>
        <w:rFonts w:cs="Arial"/>
        <w:color w:val="580F8B"/>
        <w:sz w:val="20"/>
        <w:szCs w:val="20"/>
        <w:lang w:eastAsia="x-none"/>
      </w:rPr>
    </w:pPr>
    <w:hyperlink r:id="rId1" w:history="1">
      <w:r w:rsidR="005A2D5F">
        <w:rPr>
          <w:rStyle w:val="Hyperlink"/>
          <w:rFonts w:cs="Arial"/>
          <w:color w:val="7030A0"/>
          <w:sz w:val="20"/>
          <w:szCs w:val="20"/>
          <w:u w:val="none"/>
          <w:lang w:eastAsia="x-none"/>
        </w:rPr>
        <w:t>Human</w:t>
      </w:r>
    </w:hyperlink>
    <w:r w:rsidR="005A2D5F">
      <w:rPr>
        <w:rStyle w:val="Hyperlink"/>
        <w:rFonts w:cs="Arial"/>
        <w:color w:val="7030A0"/>
        <w:sz w:val="20"/>
        <w:szCs w:val="20"/>
        <w:u w:val="none"/>
        <w:lang w:eastAsia="x-none"/>
      </w:rPr>
      <w:t xml:space="preserve"> Research Protections</w:t>
    </w:r>
    <w:r w:rsidR="002F6713" w:rsidRPr="002F6713">
      <w:rPr>
        <w:rFonts w:cs="Arial"/>
        <w:color w:val="7030A0"/>
        <w:sz w:val="20"/>
        <w:szCs w:val="20"/>
        <w:lang w:val="x-none" w:eastAsia="x-none"/>
      </w:rPr>
      <w:t xml:space="preserve"> </w:t>
    </w:r>
    <w:r w:rsidR="002F6713" w:rsidRPr="00A03B32">
      <w:rPr>
        <w:rFonts w:cs="Arial"/>
        <w:color w:val="580F8B"/>
        <w:sz w:val="20"/>
        <w:szCs w:val="20"/>
        <w:lang w:val="x-none" w:eastAsia="x-none"/>
      </w:rPr>
      <w:t xml:space="preserve">| page </w: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begin"/>
    </w:r>
    <w:r w:rsidR="002F6713" w:rsidRPr="00A03B32">
      <w:rPr>
        <w:rFonts w:cs="Arial"/>
        <w:color w:val="580F8B"/>
        <w:sz w:val="20"/>
        <w:szCs w:val="20"/>
        <w:lang w:val="x-none" w:eastAsia="x-none"/>
      </w:rPr>
      <w:instrText xml:space="preserve"> PAGE </w:instrTex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separate"/>
    </w:r>
    <w:r w:rsidR="005A2D5F">
      <w:rPr>
        <w:rFonts w:cs="Arial"/>
        <w:noProof/>
        <w:color w:val="580F8B"/>
        <w:sz w:val="20"/>
        <w:szCs w:val="20"/>
        <w:lang w:val="x-none" w:eastAsia="x-none"/>
      </w:rPr>
      <w:t>2</w: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end"/>
    </w:r>
    <w:r w:rsidR="002F6713" w:rsidRPr="00A03B32">
      <w:rPr>
        <w:rFonts w:cs="Arial"/>
        <w:color w:val="580F8B"/>
        <w:sz w:val="20"/>
        <w:szCs w:val="20"/>
        <w:lang w:val="x-none" w:eastAsia="x-none"/>
      </w:rPr>
      <w:t xml:space="preserve"> of </w: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begin"/>
    </w:r>
    <w:r w:rsidR="002F6713" w:rsidRPr="00A03B32">
      <w:rPr>
        <w:rFonts w:cs="Arial"/>
        <w:color w:val="580F8B"/>
        <w:sz w:val="20"/>
        <w:szCs w:val="20"/>
        <w:lang w:val="x-none" w:eastAsia="x-none"/>
      </w:rPr>
      <w:instrText xml:space="preserve"> SECTIONPAGES  </w:instrTex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separate"/>
    </w:r>
    <w:r w:rsidR="005A2D5F">
      <w:rPr>
        <w:rFonts w:cs="Arial"/>
        <w:noProof/>
        <w:color w:val="580F8B"/>
        <w:sz w:val="20"/>
        <w:szCs w:val="20"/>
        <w:lang w:val="x-none" w:eastAsia="x-none"/>
      </w:rPr>
      <w:t>3</w: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end"/>
    </w:r>
  </w:p>
  <w:p w14:paraId="05F512B1" w14:textId="77777777" w:rsidR="002F6713" w:rsidRDefault="002F6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8C1D" w14:textId="091B9E59" w:rsidR="002F6713" w:rsidRPr="002F6713" w:rsidRDefault="005A2D5F" w:rsidP="002F6713">
    <w:pPr>
      <w:pBdr>
        <w:top w:val="single" w:sz="4" w:space="1" w:color="5A4195"/>
      </w:pBdr>
      <w:tabs>
        <w:tab w:val="right" w:pos="10800"/>
      </w:tabs>
      <w:spacing w:before="240"/>
      <w:jc w:val="center"/>
      <w:rPr>
        <w:rFonts w:cs="Arial"/>
        <w:color w:val="580F8B"/>
        <w:sz w:val="20"/>
        <w:szCs w:val="20"/>
        <w:lang w:eastAsia="x-none"/>
      </w:rPr>
    </w:pPr>
    <w:r>
      <w:rPr>
        <w:rFonts w:cs="Arial"/>
        <w:color w:val="580F8B"/>
        <w:sz w:val="20"/>
        <w:szCs w:val="20"/>
        <w:lang w:eastAsia="x-none"/>
      </w:rPr>
      <w:t>Human Research Protections</w:t>
    </w:r>
    <w:r w:rsidR="002F6713" w:rsidRPr="00A03B32">
      <w:rPr>
        <w:rFonts w:cs="Arial"/>
        <w:color w:val="580F8B"/>
        <w:sz w:val="20"/>
        <w:szCs w:val="20"/>
        <w:lang w:val="x-none" w:eastAsia="x-none"/>
      </w:rPr>
      <w:t xml:space="preserve"> | page </w: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begin"/>
    </w:r>
    <w:r w:rsidR="002F6713" w:rsidRPr="00A03B32">
      <w:rPr>
        <w:rFonts w:cs="Arial"/>
        <w:color w:val="580F8B"/>
        <w:sz w:val="20"/>
        <w:szCs w:val="20"/>
        <w:lang w:val="x-none" w:eastAsia="x-none"/>
      </w:rPr>
      <w:instrText xml:space="preserve"> PAGE </w:instrTex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separate"/>
    </w:r>
    <w:r>
      <w:rPr>
        <w:rFonts w:cs="Arial"/>
        <w:noProof/>
        <w:color w:val="580F8B"/>
        <w:sz w:val="20"/>
        <w:szCs w:val="20"/>
        <w:lang w:val="x-none" w:eastAsia="x-none"/>
      </w:rPr>
      <w:t>1</w: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end"/>
    </w:r>
    <w:r w:rsidR="002F6713" w:rsidRPr="00A03B32">
      <w:rPr>
        <w:rFonts w:cs="Arial"/>
        <w:color w:val="580F8B"/>
        <w:sz w:val="20"/>
        <w:szCs w:val="20"/>
        <w:lang w:val="x-none" w:eastAsia="x-none"/>
      </w:rPr>
      <w:t xml:space="preserve"> of </w: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begin"/>
    </w:r>
    <w:r w:rsidR="002F6713" w:rsidRPr="00A03B32">
      <w:rPr>
        <w:rFonts w:cs="Arial"/>
        <w:color w:val="580F8B"/>
        <w:sz w:val="20"/>
        <w:szCs w:val="20"/>
        <w:lang w:val="x-none" w:eastAsia="x-none"/>
      </w:rPr>
      <w:instrText xml:space="preserve"> SECTIONPAGES  </w:instrTex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separate"/>
    </w:r>
    <w:r>
      <w:rPr>
        <w:rFonts w:cs="Arial"/>
        <w:noProof/>
        <w:color w:val="580F8B"/>
        <w:sz w:val="20"/>
        <w:szCs w:val="20"/>
        <w:lang w:val="x-none" w:eastAsia="x-none"/>
      </w:rPr>
      <w:t>3</w:t>
    </w:r>
    <w:r w:rsidR="002F6713" w:rsidRPr="00A03B32">
      <w:rPr>
        <w:rFonts w:cs="Arial"/>
        <w:color w:val="580F8B"/>
        <w:sz w:val="20"/>
        <w:szCs w:val="20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296CC" w14:textId="77777777" w:rsidR="001411A3" w:rsidRDefault="001411A3" w:rsidP="00CC4A91">
      <w:pPr>
        <w:spacing w:after="0" w:line="240" w:lineRule="auto"/>
      </w:pPr>
      <w:r>
        <w:separator/>
      </w:r>
    </w:p>
  </w:footnote>
  <w:footnote w:type="continuationSeparator" w:id="0">
    <w:p w14:paraId="6B0E6EF8" w14:textId="77777777" w:rsidR="001411A3" w:rsidRDefault="001411A3" w:rsidP="00CC4A91">
      <w:pPr>
        <w:spacing w:after="0" w:line="240" w:lineRule="auto"/>
      </w:pPr>
      <w:r>
        <w:continuationSeparator/>
      </w:r>
    </w:p>
  </w:footnote>
  <w:footnote w:type="continuationNotice" w:id="1">
    <w:p w14:paraId="366E117A" w14:textId="77777777" w:rsidR="001411A3" w:rsidRDefault="001411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A66E" w14:textId="75DF716D" w:rsidR="00F113BF" w:rsidRDefault="002F6713" w:rsidP="002F6713">
    <w:pPr>
      <w:pStyle w:val="Header"/>
      <w:jc w:val="center"/>
      <w:rPr>
        <w:rFonts w:cs="Arial"/>
        <w:b/>
        <w:color w:val="7030A0"/>
        <w:sz w:val="20"/>
        <w:szCs w:val="20"/>
      </w:rPr>
    </w:pPr>
    <w:r w:rsidRPr="002F6713">
      <w:rPr>
        <w:rFonts w:cs="Arial"/>
        <w:b/>
        <w:color w:val="7030A0"/>
        <w:sz w:val="20"/>
        <w:szCs w:val="20"/>
      </w:rPr>
      <w:t>Guidance for Use of Advertising in Research Subject Recruitment</w:t>
    </w:r>
    <w:r>
      <w:rPr>
        <w:rFonts w:cs="Arial"/>
        <w:b/>
        <w:color w:val="7030A0"/>
        <w:sz w:val="20"/>
        <w:szCs w:val="20"/>
      </w:rPr>
      <w:t xml:space="preserve"> | </w:t>
    </w:r>
    <w:r w:rsidR="005A2D5F">
      <w:rPr>
        <w:rFonts w:cs="Arial"/>
        <w:b/>
        <w:color w:val="7030A0"/>
        <w:sz w:val="20"/>
        <w:szCs w:val="20"/>
      </w:rPr>
      <w:t>Human Research Protections</w:t>
    </w:r>
    <w:r>
      <w:rPr>
        <w:rFonts w:cs="Arial"/>
        <w:b/>
        <w:color w:val="7030A0"/>
        <w:sz w:val="20"/>
        <w:szCs w:val="20"/>
      </w:rPr>
      <w:br/>
    </w:r>
  </w:p>
  <w:p w14:paraId="66822FF6" w14:textId="04AD543E" w:rsidR="002F6713" w:rsidRPr="002F6713" w:rsidRDefault="002F6713" w:rsidP="002F6713">
    <w:pPr>
      <w:pStyle w:val="Header"/>
      <w:rPr>
        <w:rFonts w:cs="Arial"/>
        <w:b/>
        <w:color w:val="7030A0"/>
        <w:sz w:val="20"/>
        <w:szCs w:val="20"/>
      </w:rPr>
    </w:pPr>
    <w:r>
      <w:rPr>
        <w:noProof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DBD20C" wp14:editId="7415D58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936828" cy="0"/>
              <wp:effectExtent l="0" t="0" r="355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6828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887F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6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" strokecolor="#7030a0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B5FA" w14:textId="77777777" w:rsidR="002F6713" w:rsidRPr="00C369F8" w:rsidRDefault="002F6713" w:rsidP="002F6713">
    <w:pPr>
      <w:tabs>
        <w:tab w:val="center" w:pos="4320"/>
        <w:tab w:val="right" w:pos="10080"/>
      </w:tabs>
      <w:spacing w:after="0" w:line="240" w:lineRule="auto"/>
      <w:rPr>
        <w:rFonts w:ascii="Times New Roman" w:hAnsi="Times New Roman"/>
        <w:sz w:val="16"/>
        <w:szCs w:val="16"/>
      </w:rPr>
    </w:pPr>
    <w:r>
      <w:tab/>
    </w:r>
  </w:p>
  <w:tbl>
    <w:tblPr>
      <w:tblW w:w="0" w:type="dxa"/>
      <w:tblInd w:w="-531" w:type="dxa"/>
      <w:tblLayout w:type="fixed"/>
      <w:tblLook w:val="01E0" w:firstRow="1" w:lastRow="1" w:firstColumn="1" w:lastColumn="1" w:noHBand="0" w:noVBand="0"/>
    </w:tblPr>
    <w:tblGrid>
      <w:gridCol w:w="4110"/>
      <w:gridCol w:w="7209"/>
    </w:tblGrid>
    <w:tr w:rsidR="002F6713" w:rsidRPr="00C369F8" w14:paraId="3957653C" w14:textId="77777777" w:rsidTr="005F2578">
      <w:trPr>
        <w:trHeight w:val="1174"/>
      </w:trPr>
      <w:tc>
        <w:tcPr>
          <w:tcW w:w="41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14:paraId="6F6F0106" w14:textId="77777777" w:rsidR="002F6713" w:rsidRPr="00C369F8" w:rsidRDefault="002F6713" w:rsidP="002F6713">
          <w:pPr>
            <w:spacing w:after="0" w:line="240" w:lineRule="auto"/>
            <w:rPr>
              <w:rFonts w:ascii="Arial Narrow" w:hAnsi="Arial Narrow"/>
              <w:b/>
              <w:sz w:val="18"/>
              <w:szCs w:val="18"/>
            </w:rPr>
          </w:pPr>
          <w:r w:rsidRPr="00C369F8">
            <w:rPr>
              <w:rFonts w:ascii="Arial Narrow" w:hAnsi="Arial Narrow"/>
              <w:b/>
              <w:sz w:val="18"/>
              <w:szCs w:val="18"/>
            </w:rPr>
            <w:t xml:space="preserve">          </w:t>
          </w:r>
          <w:r w:rsidRPr="00C369F8">
            <w:rPr>
              <w:rFonts w:ascii="Arial Narrow" w:hAnsi="Arial Narrow"/>
              <w:b/>
              <w:noProof/>
              <w:sz w:val="18"/>
              <w:szCs w:val="18"/>
            </w:rPr>
            <w:drawing>
              <wp:inline distT="0" distB="0" distL="0" distR="0" wp14:anchorId="1267D258" wp14:editId="33FD3098">
                <wp:extent cx="1679575" cy="7651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5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0872EC8" w14:textId="77777777" w:rsidR="002F6713" w:rsidRPr="00C369F8" w:rsidRDefault="002F6713" w:rsidP="002F6713">
          <w:pPr>
            <w:tabs>
              <w:tab w:val="left" w:pos="2574"/>
            </w:tabs>
            <w:spacing w:after="0" w:line="196" w:lineRule="auto"/>
            <w:rPr>
              <w:rFonts w:ascii="Calibri" w:hAnsi="Calibri" w:cs="Calibri"/>
              <w:b/>
              <w:sz w:val="24"/>
            </w:rPr>
          </w:pPr>
        </w:p>
        <w:p w14:paraId="2D1A5BD7" w14:textId="5D6DFFB4" w:rsidR="002F6713" w:rsidRPr="00C369F8" w:rsidRDefault="005A2D5F" w:rsidP="002F6713">
          <w:pPr>
            <w:tabs>
              <w:tab w:val="left" w:pos="2574"/>
            </w:tabs>
            <w:spacing w:after="0" w:line="196" w:lineRule="auto"/>
            <w:jc w:val="right"/>
            <w:rPr>
              <w:rFonts w:ascii="Calibri" w:hAnsi="Calibri" w:cs="Calibri"/>
              <w:b/>
              <w:color w:val="580F8B"/>
              <w:sz w:val="24"/>
              <w:szCs w:val="20"/>
            </w:rPr>
          </w:pPr>
          <w:r>
            <w:rPr>
              <w:rFonts w:ascii="Calibri" w:hAnsi="Calibri" w:cs="Calibri"/>
              <w:b/>
              <w:color w:val="580F8B"/>
              <w:sz w:val="18"/>
              <w:szCs w:val="20"/>
            </w:rPr>
            <w:br/>
            <w:t>Human Research Protections</w:t>
          </w:r>
        </w:p>
        <w:p w14:paraId="67420EE2" w14:textId="77777777" w:rsidR="002F6713" w:rsidRPr="00C369F8" w:rsidRDefault="002F6713" w:rsidP="002F6713">
          <w:pPr>
            <w:spacing w:after="0" w:line="196" w:lineRule="auto"/>
            <w:jc w:val="right"/>
            <w:rPr>
              <w:rFonts w:ascii="Calibri" w:hAnsi="Calibri" w:cs="Calibri"/>
              <w:sz w:val="18"/>
              <w:szCs w:val="20"/>
            </w:rPr>
          </w:pPr>
          <w:r w:rsidRPr="00C369F8">
            <w:rPr>
              <w:rFonts w:ascii="Calibri" w:hAnsi="Calibri" w:cs="Calibri"/>
              <w:sz w:val="18"/>
              <w:szCs w:val="20"/>
            </w:rPr>
            <w:t>1 Park Avenue | 6th Floor | New York, NY 10016</w:t>
          </w:r>
        </w:p>
        <w:p w14:paraId="6C41F4C0" w14:textId="443C6EC9" w:rsidR="002F6713" w:rsidRPr="00C369F8" w:rsidRDefault="005A2D5F" w:rsidP="002F6713">
          <w:pPr>
            <w:spacing w:after="0" w:line="196" w:lineRule="auto"/>
            <w:jc w:val="right"/>
            <w:rPr>
              <w:rFonts w:ascii="Calibri" w:hAnsi="Calibri" w:cs="Calibri"/>
              <w:i/>
              <w:sz w:val="24"/>
              <w:szCs w:val="20"/>
            </w:rPr>
          </w:pPr>
          <w:r>
            <w:rPr>
              <w:rFonts w:ascii="Calibri" w:hAnsi="Calibri" w:cs="Calibri"/>
              <w:i/>
              <w:sz w:val="18"/>
              <w:szCs w:val="20"/>
            </w:rPr>
            <w:t>HRP</w:t>
          </w:r>
          <w:r w:rsidR="002F6713">
            <w:rPr>
              <w:rFonts w:ascii="Calibri" w:hAnsi="Calibri" w:cs="Calibri"/>
              <w:i/>
              <w:sz w:val="18"/>
              <w:szCs w:val="20"/>
            </w:rPr>
            <w:t xml:space="preserve">  version date: 08.03</w:t>
          </w:r>
          <w:r w:rsidR="002F6713" w:rsidRPr="00C369F8">
            <w:rPr>
              <w:rFonts w:ascii="Calibri" w:hAnsi="Calibri" w:cs="Calibri"/>
              <w:i/>
              <w:sz w:val="18"/>
              <w:szCs w:val="20"/>
            </w:rPr>
            <w:t>.2022</w:t>
          </w:r>
        </w:p>
      </w:tc>
    </w:tr>
  </w:tbl>
  <w:p w14:paraId="68D36F75" w14:textId="77777777" w:rsidR="002F6713" w:rsidRPr="008E58BE" w:rsidRDefault="002F6713" w:rsidP="002F67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3DFAA8" wp14:editId="4BC5C4CA">
              <wp:simplePos x="0" y="0"/>
              <wp:positionH relativeFrom="column">
                <wp:posOffset>10510</wp:posOffset>
              </wp:positionH>
              <wp:positionV relativeFrom="paragraph">
                <wp:posOffset>77842</wp:posOffset>
              </wp:positionV>
              <wp:extent cx="6936828" cy="0"/>
              <wp:effectExtent l="0" t="0" r="355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6828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F2F4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6.15pt" to="547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" strokecolor="#7030a0" strokeweight=".5pt">
              <v:stroke joinstyle="miter"/>
            </v:line>
          </w:pict>
        </mc:Fallback>
      </mc:AlternateContent>
    </w:r>
  </w:p>
  <w:p w14:paraId="022F0DAD" w14:textId="2B608B03" w:rsidR="002F6713" w:rsidRDefault="002F6713" w:rsidP="002F6713">
    <w:pPr>
      <w:pStyle w:val="Header"/>
      <w:tabs>
        <w:tab w:val="clear" w:pos="4680"/>
        <w:tab w:val="clear" w:pos="9360"/>
        <w:tab w:val="left" w:pos="62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EEF"/>
    <w:multiLevelType w:val="hybridMultilevel"/>
    <w:tmpl w:val="A09E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8D8"/>
    <w:multiLevelType w:val="hybridMultilevel"/>
    <w:tmpl w:val="C7AC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0DA2"/>
    <w:multiLevelType w:val="hybridMultilevel"/>
    <w:tmpl w:val="6960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32A9"/>
    <w:multiLevelType w:val="hybridMultilevel"/>
    <w:tmpl w:val="A53C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24D0"/>
    <w:multiLevelType w:val="hybridMultilevel"/>
    <w:tmpl w:val="F2AA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1F47"/>
    <w:multiLevelType w:val="hybridMultilevel"/>
    <w:tmpl w:val="22D4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67108"/>
    <w:multiLevelType w:val="hybridMultilevel"/>
    <w:tmpl w:val="3304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D0194"/>
    <w:multiLevelType w:val="hybridMultilevel"/>
    <w:tmpl w:val="87E2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54E71"/>
    <w:multiLevelType w:val="hybridMultilevel"/>
    <w:tmpl w:val="12B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B310A"/>
    <w:multiLevelType w:val="hybridMultilevel"/>
    <w:tmpl w:val="7174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B3F3B"/>
    <w:multiLevelType w:val="hybridMultilevel"/>
    <w:tmpl w:val="F4D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06437"/>
    <w:multiLevelType w:val="hybridMultilevel"/>
    <w:tmpl w:val="D59A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241E1"/>
    <w:multiLevelType w:val="hybridMultilevel"/>
    <w:tmpl w:val="356C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79"/>
    <w:rsid w:val="00034C83"/>
    <w:rsid w:val="00043D13"/>
    <w:rsid w:val="00074A1F"/>
    <w:rsid w:val="00074E3F"/>
    <w:rsid w:val="000816B1"/>
    <w:rsid w:val="000A5BD9"/>
    <w:rsid w:val="000B6802"/>
    <w:rsid w:val="000E0EEA"/>
    <w:rsid w:val="000E6E51"/>
    <w:rsid w:val="000F1AC1"/>
    <w:rsid w:val="000F3304"/>
    <w:rsid w:val="00103BD2"/>
    <w:rsid w:val="001064E0"/>
    <w:rsid w:val="0011179B"/>
    <w:rsid w:val="00122846"/>
    <w:rsid w:val="001260F2"/>
    <w:rsid w:val="001411A3"/>
    <w:rsid w:val="0014267B"/>
    <w:rsid w:val="00152667"/>
    <w:rsid w:val="001563F3"/>
    <w:rsid w:val="0016388C"/>
    <w:rsid w:val="00165A8B"/>
    <w:rsid w:val="00192B1F"/>
    <w:rsid w:val="001A2A71"/>
    <w:rsid w:val="001A6FFF"/>
    <w:rsid w:val="001A7BF1"/>
    <w:rsid w:val="001B67AC"/>
    <w:rsid w:val="001E3E0E"/>
    <w:rsid w:val="001E48C4"/>
    <w:rsid w:val="001E72A5"/>
    <w:rsid w:val="001E7584"/>
    <w:rsid w:val="00220ADB"/>
    <w:rsid w:val="002223F0"/>
    <w:rsid w:val="0023055C"/>
    <w:rsid w:val="00255173"/>
    <w:rsid w:val="0025527D"/>
    <w:rsid w:val="00267BC9"/>
    <w:rsid w:val="0027669D"/>
    <w:rsid w:val="00292F24"/>
    <w:rsid w:val="002A5DBD"/>
    <w:rsid w:val="002B0C98"/>
    <w:rsid w:val="002B6831"/>
    <w:rsid w:val="002B74A2"/>
    <w:rsid w:val="002C219E"/>
    <w:rsid w:val="002D782D"/>
    <w:rsid w:val="002E34B0"/>
    <w:rsid w:val="002F1D5C"/>
    <w:rsid w:val="002F6713"/>
    <w:rsid w:val="00301AF8"/>
    <w:rsid w:val="00305BA2"/>
    <w:rsid w:val="003136C0"/>
    <w:rsid w:val="00323961"/>
    <w:rsid w:val="003358AA"/>
    <w:rsid w:val="0037552B"/>
    <w:rsid w:val="00385B69"/>
    <w:rsid w:val="0038609D"/>
    <w:rsid w:val="003C2E44"/>
    <w:rsid w:val="003C4928"/>
    <w:rsid w:val="003D52EA"/>
    <w:rsid w:val="003E0BA4"/>
    <w:rsid w:val="003E3039"/>
    <w:rsid w:val="003F3E2F"/>
    <w:rsid w:val="004101CC"/>
    <w:rsid w:val="00416599"/>
    <w:rsid w:val="004236F1"/>
    <w:rsid w:val="00433DEB"/>
    <w:rsid w:val="00441F21"/>
    <w:rsid w:val="0046215E"/>
    <w:rsid w:val="0046243F"/>
    <w:rsid w:val="00462CCD"/>
    <w:rsid w:val="0046594E"/>
    <w:rsid w:val="00465D83"/>
    <w:rsid w:val="00467052"/>
    <w:rsid w:val="00473F37"/>
    <w:rsid w:val="004903EB"/>
    <w:rsid w:val="004A1405"/>
    <w:rsid w:val="004B17BC"/>
    <w:rsid w:val="004D46B0"/>
    <w:rsid w:val="004E0251"/>
    <w:rsid w:val="004E0F95"/>
    <w:rsid w:val="004F2448"/>
    <w:rsid w:val="00500111"/>
    <w:rsid w:val="0050046E"/>
    <w:rsid w:val="00505A66"/>
    <w:rsid w:val="005069BB"/>
    <w:rsid w:val="00517284"/>
    <w:rsid w:val="00544740"/>
    <w:rsid w:val="00546C68"/>
    <w:rsid w:val="00550855"/>
    <w:rsid w:val="00564477"/>
    <w:rsid w:val="005661AE"/>
    <w:rsid w:val="00572D70"/>
    <w:rsid w:val="005949EE"/>
    <w:rsid w:val="0059667D"/>
    <w:rsid w:val="005A0422"/>
    <w:rsid w:val="005A236B"/>
    <w:rsid w:val="005A2D5F"/>
    <w:rsid w:val="005B7DDB"/>
    <w:rsid w:val="005C4F8C"/>
    <w:rsid w:val="005D4079"/>
    <w:rsid w:val="005D4FA2"/>
    <w:rsid w:val="005D6746"/>
    <w:rsid w:val="005D7ECE"/>
    <w:rsid w:val="005E2E36"/>
    <w:rsid w:val="005E408E"/>
    <w:rsid w:val="005E543D"/>
    <w:rsid w:val="00605041"/>
    <w:rsid w:val="00607D44"/>
    <w:rsid w:val="00612DF3"/>
    <w:rsid w:val="00617B1D"/>
    <w:rsid w:val="00622823"/>
    <w:rsid w:val="006234F6"/>
    <w:rsid w:val="00637EB5"/>
    <w:rsid w:val="00641678"/>
    <w:rsid w:val="00651544"/>
    <w:rsid w:val="0065206A"/>
    <w:rsid w:val="00662D86"/>
    <w:rsid w:val="0069130C"/>
    <w:rsid w:val="00695589"/>
    <w:rsid w:val="006C771E"/>
    <w:rsid w:val="006D00FB"/>
    <w:rsid w:val="006D3EEB"/>
    <w:rsid w:val="006E77A2"/>
    <w:rsid w:val="006F08F4"/>
    <w:rsid w:val="00700AC7"/>
    <w:rsid w:val="00701BDF"/>
    <w:rsid w:val="00724516"/>
    <w:rsid w:val="00736F28"/>
    <w:rsid w:val="007375F3"/>
    <w:rsid w:val="00744743"/>
    <w:rsid w:val="00746FF3"/>
    <w:rsid w:val="00764604"/>
    <w:rsid w:val="00774765"/>
    <w:rsid w:val="00795D00"/>
    <w:rsid w:val="007B1D54"/>
    <w:rsid w:val="007B485A"/>
    <w:rsid w:val="007B6B69"/>
    <w:rsid w:val="007C3ACB"/>
    <w:rsid w:val="007D3212"/>
    <w:rsid w:val="007D3463"/>
    <w:rsid w:val="007E2E86"/>
    <w:rsid w:val="007E73E5"/>
    <w:rsid w:val="0080391F"/>
    <w:rsid w:val="00805700"/>
    <w:rsid w:val="00821D20"/>
    <w:rsid w:val="0082638A"/>
    <w:rsid w:val="00826C11"/>
    <w:rsid w:val="00861AF4"/>
    <w:rsid w:val="00863443"/>
    <w:rsid w:val="00863EBD"/>
    <w:rsid w:val="0088385C"/>
    <w:rsid w:val="008903C8"/>
    <w:rsid w:val="00894B9B"/>
    <w:rsid w:val="008A482F"/>
    <w:rsid w:val="008B443B"/>
    <w:rsid w:val="008D1AAB"/>
    <w:rsid w:val="008D409E"/>
    <w:rsid w:val="008E58BE"/>
    <w:rsid w:val="00903B1D"/>
    <w:rsid w:val="00926150"/>
    <w:rsid w:val="00931C78"/>
    <w:rsid w:val="009462E6"/>
    <w:rsid w:val="00950E30"/>
    <w:rsid w:val="009540D2"/>
    <w:rsid w:val="00954D4E"/>
    <w:rsid w:val="00957C4B"/>
    <w:rsid w:val="00975C99"/>
    <w:rsid w:val="009762FB"/>
    <w:rsid w:val="00991C6D"/>
    <w:rsid w:val="009A3E76"/>
    <w:rsid w:val="009B5F87"/>
    <w:rsid w:val="009E5685"/>
    <w:rsid w:val="00A00916"/>
    <w:rsid w:val="00A0184B"/>
    <w:rsid w:val="00A02D5E"/>
    <w:rsid w:val="00A2148B"/>
    <w:rsid w:val="00A270D8"/>
    <w:rsid w:val="00A32D54"/>
    <w:rsid w:val="00A45302"/>
    <w:rsid w:val="00A56CAB"/>
    <w:rsid w:val="00A673A5"/>
    <w:rsid w:val="00A92151"/>
    <w:rsid w:val="00AA1FB8"/>
    <w:rsid w:val="00AA4058"/>
    <w:rsid w:val="00AA4DE8"/>
    <w:rsid w:val="00AC4014"/>
    <w:rsid w:val="00AC5DAC"/>
    <w:rsid w:val="00AE3950"/>
    <w:rsid w:val="00AE3AA2"/>
    <w:rsid w:val="00AE53AE"/>
    <w:rsid w:val="00AE726A"/>
    <w:rsid w:val="00AF3BF8"/>
    <w:rsid w:val="00B221B5"/>
    <w:rsid w:val="00B25BDF"/>
    <w:rsid w:val="00B30FD2"/>
    <w:rsid w:val="00B445BE"/>
    <w:rsid w:val="00B51782"/>
    <w:rsid w:val="00B75A10"/>
    <w:rsid w:val="00B8098C"/>
    <w:rsid w:val="00B87892"/>
    <w:rsid w:val="00BA4CC5"/>
    <w:rsid w:val="00BB3265"/>
    <w:rsid w:val="00BB6864"/>
    <w:rsid w:val="00BB7649"/>
    <w:rsid w:val="00BB79FE"/>
    <w:rsid w:val="00BC2145"/>
    <w:rsid w:val="00BD0D79"/>
    <w:rsid w:val="00BD168D"/>
    <w:rsid w:val="00BE0DB3"/>
    <w:rsid w:val="00BE766B"/>
    <w:rsid w:val="00C0039A"/>
    <w:rsid w:val="00C06FC6"/>
    <w:rsid w:val="00C13DBF"/>
    <w:rsid w:val="00C148FC"/>
    <w:rsid w:val="00C238A8"/>
    <w:rsid w:val="00C26456"/>
    <w:rsid w:val="00C418FE"/>
    <w:rsid w:val="00C44074"/>
    <w:rsid w:val="00C73367"/>
    <w:rsid w:val="00C864F3"/>
    <w:rsid w:val="00C87D3C"/>
    <w:rsid w:val="00C961B9"/>
    <w:rsid w:val="00CA22EA"/>
    <w:rsid w:val="00CA6E00"/>
    <w:rsid w:val="00CB600A"/>
    <w:rsid w:val="00CC4A91"/>
    <w:rsid w:val="00D11F97"/>
    <w:rsid w:val="00D26488"/>
    <w:rsid w:val="00D31733"/>
    <w:rsid w:val="00D40161"/>
    <w:rsid w:val="00D44DDE"/>
    <w:rsid w:val="00D537DB"/>
    <w:rsid w:val="00D61E6D"/>
    <w:rsid w:val="00D70F05"/>
    <w:rsid w:val="00D726A2"/>
    <w:rsid w:val="00DA3D46"/>
    <w:rsid w:val="00DB2FCE"/>
    <w:rsid w:val="00DB7253"/>
    <w:rsid w:val="00DC5152"/>
    <w:rsid w:val="00DD0E5A"/>
    <w:rsid w:val="00DD4698"/>
    <w:rsid w:val="00DE79F3"/>
    <w:rsid w:val="00DE7B5E"/>
    <w:rsid w:val="00DF3C16"/>
    <w:rsid w:val="00E00E83"/>
    <w:rsid w:val="00E03F2F"/>
    <w:rsid w:val="00E167EE"/>
    <w:rsid w:val="00E174AE"/>
    <w:rsid w:val="00E20965"/>
    <w:rsid w:val="00E31C88"/>
    <w:rsid w:val="00E33746"/>
    <w:rsid w:val="00E37425"/>
    <w:rsid w:val="00E37B81"/>
    <w:rsid w:val="00E40E55"/>
    <w:rsid w:val="00E4578A"/>
    <w:rsid w:val="00E541FA"/>
    <w:rsid w:val="00E55730"/>
    <w:rsid w:val="00E55DCC"/>
    <w:rsid w:val="00E6759B"/>
    <w:rsid w:val="00E704BB"/>
    <w:rsid w:val="00E75FC2"/>
    <w:rsid w:val="00E86EA6"/>
    <w:rsid w:val="00E92F39"/>
    <w:rsid w:val="00E96D3E"/>
    <w:rsid w:val="00EA22AC"/>
    <w:rsid w:val="00EA6635"/>
    <w:rsid w:val="00EB56A9"/>
    <w:rsid w:val="00EC6740"/>
    <w:rsid w:val="00ED7A24"/>
    <w:rsid w:val="00EF1072"/>
    <w:rsid w:val="00EF2615"/>
    <w:rsid w:val="00EF56F3"/>
    <w:rsid w:val="00EF5C72"/>
    <w:rsid w:val="00F113BF"/>
    <w:rsid w:val="00F345DB"/>
    <w:rsid w:val="00F43196"/>
    <w:rsid w:val="00F66895"/>
    <w:rsid w:val="00F701D9"/>
    <w:rsid w:val="00F80999"/>
    <w:rsid w:val="00F86930"/>
    <w:rsid w:val="00F92376"/>
    <w:rsid w:val="00F9291F"/>
    <w:rsid w:val="00F970E4"/>
    <w:rsid w:val="00FA20EA"/>
    <w:rsid w:val="00FA2E1F"/>
    <w:rsid w:val="00FB0CCE"/>
    <w:rsid w:val="00FD4E51"/>
    <w:rsid w:val="00FD5863"/>
    <w:rsid w:val="00FD6D6B"/>
    <w:rsid w:val="00FE7BE2"/>
    <w:rsid w:val="02BBC833"/>
    <w:rsid w:val="02F9AA9A"/>
    <w:rsid w:val="048211AE"/>
    <w:rsid w:val="09FE5A88"/>
    <w:rsid w:val="0A5ACD29"/>
    <w:rsid w:val="0CA08CE0"/>
    <w:rsid w:val="0DCBC579"/>
    <w:rsid w:val="0E300BDB"/>
    <w:rsid w:val="13A6A0FB"/>
    <w:rsid w:val="15056AE9"/>
    <w:rsid w:val="16E87D73"/>
    <w:rsid w:val="1D5368D9"/>
    <w:rsid w:val="1D914B40"/>
    <w:rsid w:val="1DB7DACF"/>
    <w:rsid w:val="1EEF393A"/>
    <w:rsid w:val="20C8EC02"/>
    <w:rsid w:val="2121778B"/>
    <w:rsid w:val="2264BC63"/>
    <w:rsid w:val="232DDFB4"/>
    <w:rsid w:val="26740CC0"/>
    <w:rsid w:val="26BD40BB"/>
    <w:rsid w:val="26E578E0"/>
    <w:rsid w:val="2D6293CB"/>
    <w:rsid w:val="379CFF5C"/>
    <w:rsid w:val="38F20F37"/>
    <w:rsid w:val="3BDE8337"/>
    <w:rsid w:val="42835C6B"/>
    <w:rsid w:val="43B46917"/>
    <w:rsid w:val="43B7883A"/>
    <w:rsid w:val="43C8E4DB"/>
    <w:rsid w:val="492EA15D"/>
    <w:rsid w:val="4A779840"/>
    <w:rsid w:val="4D1A6E59"/>
    <w:rsid w:val="4D8BD592"/>
    <w:rsid w:val="4F2A8B92"/>
    <w:rsid w:val="5336FB37"/>
    <w:rsid w:val="55652189"/>
    <w:rsid w:val="5A089F1C"/>
    <w:rsid w:val="5A75376E"/>
    <w:rsid w:val="5D292D60"/>
    <w:rsid w:val="5EDB6463"/>
    <w:rsid w:val="61DF6A41"/>
    <w:rsid w:val="69BCCFC4"/>
    <w:rsid w:val="6B423B4A"/>
    <w:rsid w:val="6D210961"/>
    <w:rsid w:val="7094D07F"/>
    <w:rsid w:val="72488D84"/>
    <w:rsid w:val="761C3EE1"/>
    <w:rsid w:val="77765E52"/>
    <w:rsid w:val="7A976768"/>
    <w:rsid w:val="7A9BEEA3"/>
    <w:rsid w:val="7B4E0DCB"/>
    <w:rsid w:val="7DC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3CEDF"/>
  <w15:chartTrackingRefBased/>
  <w15:docId w15:val="{CBC2EDBA-AC39-0F43-B42B-7A800B02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79"/>
    <w:pPr>
      <w:spacing w:after="120" w:line="260" w:lineRule="exact"/>
    </w:pPr>
    <w:rPr>
      <w:rFonts w:ascii="Arial" w:eastAsia="Times New Roman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079"/>
    <w:pPr>
      <w:spacing w:line="240" w:lineRule="auto"/>
      <w:ind w:left="720"/>
    </w:pPr>
    <w:rPr>
      <w:szCs w:val="20"/>
    </w:rPr>
  </w:style>
  <w:style w:type="paragraph" w:styleId="NormalWeb">
    <w:name w:val="Normal (Web)"/>
    <w:basedOn w:val="Normal"/>
    <w:uiPriority w:val="99"/>
    <w:unhideWhenUsed/>
    <w:rsid w:val="005D407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40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079"/>
    <w:pPr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079"/>
  </w:style>
  <w:style w:type="character" w:styleId="Hyperlink">
    <w:name w:val="Hyperlink"/>
    <w:basedOn w:val="DefaultParagraphFont"/>
    <w:uiPriority w:val="99"/>
    <w:unhideWhenUsed/>
    <w:rsid w:val="005D40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7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5F3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6515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05BA2"/>
    <w:rPr>
      <w:rFonts w:ascii="Arial" w:eastAsia="Times New Roman" w:hAnsi="Arial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CC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1"/>
    <w:rPr>
      <w:rFonts w:ascii="Arial" w:eastAsia="Times New Roman" w:hAnsi="Arial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C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1"/>
    <w:rPr>
      <w:rFonts w:ascii="Arial" w:eastAsia="Times New Roman" w:hAnsi="Arial" w:cs="Times New Roman"/>
      <w:sz w:val="22"/>
    </w:rPr>
  </w:style>
  <w:style w:type="table" w:styleId="GridTable1Light-Accent1">
    <w:name w:val="Grid Table 1 Light Accent 1"/>
    <w:basedOn w:val="TableNormal"/>
    <w:uiPriority w:val="46"/>
    <w:rsid w:val="004903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FA2"/>
    <w:pPr>
      <w:spacing w:after="120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FA2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E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EA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55085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61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-info@Nyulangone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u-amc.ivanticloud.com/?Scope=SelfService&amp;CommandId=NewServiceRequestByOfferingId&amp;Tab=ServiceCatalog&amp;Template=50B2FCE2B10146B5889651783414992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dcenter.med.nyu.ed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ynewspap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newspapers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b-info@nyulangon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96348-AC7C-4D92-9841-3D81E13A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Gogel, Steven</dc:creator>
  <cp:keywords/>
  <dc:description/>
  <cp:lastModifiedBy>Larkey, Matthew</cp:lastModifiedBy>
  <cp:revision>4</cp:revision>
  <dcterms:created xsi:type="dcterms:W3CDTF">2022-08-03T21:57:00Z</dcterms:created>
  <dcterms:modified xsi:type="dcterms:W3CDTF">2022-08-05T19:32:00Z</dcterms:modified>
</cp:coreProperties>
</file>