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2A26B" w14:textId="77777777" w:rsidR="00126217" w:rsidRPr="00B23F92" w:rsidRDefault="003445F0" w:rsidP="005A3550">
      <w:pPr>
        <w:pStyle w:val="Heading1"/>
        <w:rPr>
          <w:color w:val="000000" w:themeColor="text1"/>
        </w:rPr>
      </w:pPr>
      <w:r w:rsidRPr="00B23F92">
        <w:rPr>
          <w:color w:val="000000" w:themeColor="text1"/>
        </w:rPr>
        <w:t xml:space="preserve">Research </w:t>
      </w:r>
      <w:r w:rsidR="00261846" w:rsidRPr="00B23F92">
        <w:rPr>
          <w:color w:val="000000" w:themeColor="text1"/>
        </w:rPr>
        <w:t>Involving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Children</w:t>
      </w:r>
    </w:p>
    <w:p w14:paraId="5E2DD356" w14:textId="77777777" w:rsidR="00261846" w:rsidRPr="00B23F92" w:rsidRDefault="00261846" w:rsidP="005A3550">
      <w:pPr>
        <w:pStyle w:val="Heading2"/>
        <w:rPr>
          <w:color w:val="000000" w:themeColor="text1"/>
          <w:szCs w:val="18"/>
        </w:rPr>
      </w:pPr>
      <w:r w:rsidRPr="00B23F92">
        <w:rPr>
          <w:color w:val="000000" w:themeColor="text1"/>
        </w:rPr>
        <w:t>Definitions</w:t>
      </w:r>
    </w:p>
    <w:p w14:paraId="1F117CBC" w14:textId="77777777" w:rsidR="005A3550" w:rsidRPr="00B23F92" w:rsidRDefault="00261846" w:rsidP="00EE1F61">
      <w:pPr>
        <w:pStyle w:val="Heading4"/>
        <w:rPr>
          <w:color w:val="000000" w:themeColor="text1"/>
        </w:rPr>
      </w:pPr>
      <w:r w:rsidRPr="00B23F92">
        <w:rPr>
          <w:color w:val="000000" w:themeColor="text1"/>
        </w:rPr>
        <w:t>Child</w:t>
      </w:r>
    </w:p>
    <w:p w14:paraId="7CEB00C0" w14:textId="77777777" w:rsidR="00261846" w:rsidRPr="00B23F92" w:rsidRDefault="00261846" w:rsidP="005A3550">
      <w:pPr>
        <w:rPr>
          <w:color w:val="000000" w:themeColor="text1"/>
          <w:szCs w:val="18"/>
        </w:rPr>
      </w:pPr>
      <w:r w:rsidRPr="00B23F92">
        <w:rPr>
          <w:color w:val="000000" w:themeColor="text1"/>
        </w:rPr>
        <w:t>Under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HHS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federal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regulations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“children”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persons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have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not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attained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legal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age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treatments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procedures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involved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under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applicable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law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jurisdiction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which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conducted.</w:t>
      </w:r>
    </w:p>
    <w:p w14:paraId="5E88B864" w14:textId="77777777" w:rsidR="00261846" w:rsidRPr="00B23F92" w:rsidRDefault="00261846" w:rsidP="005A3550">
      <w:pPr>
        <w:rPr>
          <w:color w:val="000000" w:themeColor="text1"/>
        </w:rPr>
      </w:pPr>
      <w:r w:rsidRPr="00B23F92">
        <w:rPr>
          <w:color w:val="000000" w:themeColor="text1"/>
        </w:rPr>
        <w:t>When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conducted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New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York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persons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meet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above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definition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individuals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under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18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years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age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following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exceptions:</w:t>
      </w:r>
    </w:p>
    <w:p w14:paraId="3E16AADF" w14:textId="77777777" w:rsidR="00126217" w:rsidRPr="00B23F92" w:rsidRDefault="00261846" w:rsidP="005A3550">
      <w:pPr>
        <w:pStyle w:val="Normal-bullit1"/>
        <w:rPr>
          <w:color w:val="000000" w:themeColor="text1"/>
        </w:rPr>
      </w:pPr>
      <w:r w:rsidRPr="00B23F92">
        <w:rPr>
          <w:color w:val="000000" w:themeColor="text1"/>
        </w:rPr>
        <w:t>Individuals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between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16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18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years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age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adjudicated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emancipated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probate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court</w:t>
      </w:r>
    </w:p>
    <w:p w14:paraId="06A5FEFD" w14:textId="77777777" w:rsidR="00126217" w:rsidRPr="00B23F92" w:rsidRDefault="00261846" w:rsidP="005A3550">
      <w:pPr>
        <w:pStyle w:val="Normal-bullit1"/>
        <w:rPr>
          <w:color w:val="000000" w:themeColor="text1"/>
        </w:rPr>
      </w:pPr>
      <w:r w:rsidRPr="00B23F92">
        <w:rPr>
          <w:color w:val="000000" w:themeColor="text1"/>
        </w:rPr>
        <w:t>All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individuals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under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18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years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age,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procedures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limited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to:</w:t>
      </w:r>
    </w:p>
    <w:p w14:paraId="2933D873" w14:textId="77777777" w:rsidR="00126217" w:rsidRPr="00B23F92" w:rsidRDefault="00261846" w:rsidP="005A3550">
      <w:pPr>
        <w:pStyle w:val="normal-bullit2"/>
        <w:rPr>
          <w:color w:val="000000" w:themeColor="text1"/>
        </w:rPr>
      </w:pPr>
      <w:r w:rsidRPr="00B23F92">
        <w:rPr>
          <w:color w:val="000000" w:themeColor="text1"/>
        </w:rPr>
        <w:t>HIV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testing,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counseling,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treatment</w:t>
      </w:r>
    </w:p>
    <w:p w14:paraId="45037185" w14:textId="77777777" w:rsidR="00126217" w:rsidRPr="00B23F92" w:rsidRDefault="00261846" w:rsidP="005A3550">
      <w:pPr>
        <w:pStyle w:val="normal-bullit2"/>
        <w:rPr>
          <w:color w:val="000000" w:themeColor="text1"/>
        </w:rPr>
      </w:pPr>
      <w:r w:rsidRPr="00B23F92">
        <w:rPr>
          <w:color w:val="000000" w:themeColor="text1"/>
        </w:rPr>
        <w:t>Outpatient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mental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health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services</w:t>
      </w:r>
    </w:p>
    <w:p w14:paraId="3026C892" w14:textId="77777777" w:rsidR="00126217" w:rsidRPr="00B23F92" w:rsidRDefault="00261846" w:rsidP="005A3550">
      <w:pPr>
        <w:pStyle w:val="normal-bullit2"/>
        <w:rPr>
          <w:color w:val="000000" w:themeColor="text1"/>
        </w:rPr>
      </w:pPr>
      <w:r w:rsidRPr="00B23F92">
        <w:rPr>
          <w:color w:val="000000" w:themeColor="text1"/>
        </w:rPr>
        <w:t>Testing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treatment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sexually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transmitted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diseases</w:t>
      </w:r>
    </w:p>
    <w:p w14:paraId="5AE946EE" w14:textId="77777777" w:rsidR="00126217" w:rsidRPr="00B23F92" w:rsidRDefault="00261846" w:rsidP="005A3550">
      <w:pPr>
        <w:pStyle w:val="normal-bullit2"/>
        <w:rPr>
          <w:color w:val="000000" w:themeColor="text1"/>
        </w:rPr>
      </w:pPr>
      <w:r w:rsidRPr="00B23F92">
        <w:rPr>
          <w:color w:val="000000" w:themeColor="text1"/>
        </w:rPr>
        <w:t>Treatment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rehabilitation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alcohol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drug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dependence</w:t>
      </w:r>
    </w:p>
    <w:p w14:paraId="4252F3A6" w14:textId="77777777" w:rsidR="00126217" w:rsidRPr="00B23F92" w:rsidRDefault="00261846" w:rsidP="005A3550">
      <w:pPr>
        <w:pStyle w:val="normal-bullit2"/>
        <w:rPr>
          <w:color w:val="000000" w:themeColor="text1"/>
        </w:rPr>
      </w:pPr>
      <w:r w:rsidRPr="00B23F92">
        <w:rPr>
          <w:color w:val="000000" w:themeColor="text1"/>
        </w:rPr>
        <w:t>Abortion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counseling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treatment</w:t>
      </w:r>
    </w:p>
    <w:p w14:paraId="035A0352" w14:textId="77777777" w:rsidR="00126217" w:rsidRPr="00B23F92" w:rsidRDefault="00261846" w:rsidP="005A3550">
      <w:pPr>
        <w:pStyle w:val="Normal-bullit1"/>
        <w:rPr>
          <w:color w:val="000000" w:themeColor="text1"/>
        </w:rPr>
      </w:pPr>
      <w:r w:rsidRPr="00B23F92">
        <w:rPr>
          <w:color w:val="000000" w:themeColor="text1"/>
        </w:rPr>
        <w:t>All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individuals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between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16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18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years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age,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procedures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limited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inpatient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mental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health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services</w:t>
      </w:r>
    </w:p>
    <w:p w14:paraId="2F3E165D" w14:textId="77777777" w:rsidR="00261846" w:rsidRPr="00B23F92" w:rsidRDefault="00261846" w:rsidP="005A3550">
      <w:pPr>
        <w:pStyle w:val="normal-note"/>
        <w:rPr>
          <w:color w:val="000000" w:themeColor="text1"/>
        </w:rPr>
      </w:pPr>
      <w:r w:rsidRPr="00B23F92">
        <w:rPr>
          <w:color w:val="000000" w:themeColor="text1"/>
        </w:rPr>
        <w:t>NOTE: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conducted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jurisdictions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other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New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York,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must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comply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laws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regarding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legal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age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relevant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jurisdictions.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General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Counsel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NYU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SoM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provide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assistance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regard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laws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other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jurisdictions.</w:t>
      </w:r>
    </w:p>
    <w:p w14:paraId="7BECC2C0" w14:textId="77777777" w:rsidR="00261846" w:rsidRPr="00B23F92" w:rsidRDefault="00261846" w:rsidP="005A3550">
      <w:pPr>
        <w:pStyle w:val="Heading4"/>
        <w:rPr>
          <w:color w:val="000000" w:themeColor="text1"/>
        </w:rPr>
      </w:pPr>
      <w:r w:rsidRPr="00B23F92">
        <w:rPr>
          <w:color w:val="000000" w:themeColor="text1"/>
        </w:rPr>
        <w:t>Guardian</w:t>
      </w:r>
    </w:p>
    <w:p w14:paraId="44F83F34" w14:textId="77777777" w:rsidR="00261846" w:rsidRPr="00B23F92" w:rsidRDefault="00261846" w:rsidP="005A3550">
      <w:pPr>
        <w:rPr>
          <w:color w:val="000000" w:themeColor="text1"/>
        </w:rPr>
      </w:pPr>
      <w:r w:rsidRPr="00B23F92">
        <w:rPr>
          <w:color w:val="000000" w:themeColor="text1"/>
        </w:rPr>
        <w:t>Under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DHHS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FDA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regulations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“guardian”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means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individual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authorized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under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applicable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local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law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behalf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general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medical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care.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conducted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New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York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persons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meet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definition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guardian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court-appointed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guardians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authority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major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medical,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psychiatric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surgical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treatment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specific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authorization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research.</w:t>
      </w:r>
    </w:p>
    <w:p w14:paraId="029D86AF" w14:textId="77777777" w:rsidR="00261846" w:rsidRPr="00B23F92" w:rsidRDefault="00261846" w:rsidP="005A3550">
      <w:pPr>
        <w:pStyle w:val="normal-note"/>
        <w:rPr>
          <w:color w:val="000000" w:themeColor="text1"/>
        </w:rPr>
      </w:pPr>
      <w:r w:rsidRPr="00B23F92">
        <w:rPr>
          <w:color w:val="000000" w:themeColor="text1"/>
        </w:rPr>
        <w:t>NOTE: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conducted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jurisdictions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other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New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York,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must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comply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laws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regarding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guardianship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relevant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jurisdictions.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General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Counsel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NYU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SoM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provide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assistance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regard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laws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other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jurisdictions.</w:t>
      </w:r>
    </w:p>
    <w:p w14:paraId="7044A46A" w14:textId="77777777" w:rsidR="00EE1F61" w:rsidRPr="00B23F92" w:rsidRDefault="00EE1F61" w:rsidP="00EE1F61">
      <w:pPr>
        <w:pStyle w:val="Heading4"/>
        <w:rPr>
          <w:color w:val="000000" w:themeColor="text1"/>
        </w:rPr>
      </w:pPr>
      <w:r w:rsidRPr="00B23F92">
        <w:rPr>
          <w:color w:val="000000" w:themeColor="text1"/>
        </w:rPr>
        <w:t>Ward</w:t>
      </w:r>
    </w:p>
    <w:p w14:paraId="1464633C" w14:textId="77777777" w:rsidR="00126217" w:rsidRPr="00B23F92" w:rsidRDefault="00EE1F61" w:rsidP="00EE1F61">
      <w:pPr>
        <w:rPr>
          <w:color w:val="000000" w:themeColor="text1"/>
        </w:rPr>
      </w:pPr>
      <w:r w:rsidRPr="00B23F92">
        <w:rPr>
          <w:color w:val="000000" w:themeColor="text1"/>
        </w:rPr>
        <w:t>Any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under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protection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other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agency,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institution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entity.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New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York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State,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foster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should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considered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ward.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foster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custody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local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social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services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commissioner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authorized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agency,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placed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temporary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long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term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care.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conducted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other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New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York,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investigator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should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check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appropriate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local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laws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regulations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before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conducting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determine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definition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ward.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provide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assistance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determination.</w:t>
      </w:r>
    </w:p>
    <w:p w14:paraId="6A3FAE6A" w14:textId="77777777" w:rsidR="005A3550" w:rsidRPr="00B23F92" w:rsidRDefault="00261846" w:rsidP="005A3550">
      <w:pPr>
        <w:pStyle w:val="Heading2"/>
        <w:rPr>
          <w:color w:val="000000" w:themeColor="text1"/>
          <w:szCs w:val="18"/>
        </w:rPr>
      </w:pPr>
      <w:r w:rsidRPr="00B23F92">
        <w:rPr>
          <w:color w:val="000000" w:themeColor="text1"/>
        </w:rPr>
        <w:lastRenderedPageBreak/>
        <w:t>Regulations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="005A3550" w:rsidRPr="00B23F92">
        <w:rPr>
          <w:color w:val="000000" w:themeColor="text1"/>
        </w:rPr>
        <w:t>I</w:t>
      </w:r>
      <w:r w:rsidRPr="00B23F92">
        <w:rPr>
          <w:color w:val="000000" w:themeColor="text1"/>
        </w:rPr>
        <w:t>nvolving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</w:p>
    <w:p w14:paraId="28130C80" w14:textId="736DDB90" w:rsidR="00261846" w:rsidRPr="00B23F92" w:rsidRDefault="00261846" w:rsidP="005A3550">
      <w:pPr>
        <w:rPr>
          <w:color w:val="000000" w:themeColor="text1"/>
        </w:rPr>
      </w:pP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should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included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human</w:t>
      </w:r>
      <w:r w:rsidR="00126217" w:rsidRPr="00B23F92">
        <w:rPr>
          <w:color w:val="000000" w:themeColor="text1"/>
        </w:rPr>
        <w:t xml:space="preserve"> </w:t>
      </w:r>
      <w:proofErr w:type="gramStart"/>
      <w:r w:rsidRPr="00B23F92">
        <w:rPr>
          <w:color w:val="000000" w:themeColor="text1"/>
        </w:rPr>
        <w:t>subjects</w:t>
      </w:r>
      <w:proofErr w:type="gramEnd"/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conducted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supported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NIH,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unless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scientific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ethical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reasons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justify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non</w:t>
      </w:r>
      <w:r w:rsidR="00A506CA" w:rsidRPr="00B23F92">
        <w:rPr>
          <w:color w:val="000000" w:themeColor="text1"/>
        </w:rPr>
        <w:t>-</w:t>
      </w:r>
      <w:r w:rsidRPr="00B23F92">
        <w:rPr>
          <w:color w:val="000000" w:themeColor="text1"/>
        </w:rPr>
        <w:t>inclusion.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excluded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from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application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proposal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must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present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acceptable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justifica</w:t>
      </w:r>
      <w:r w:rsidR="005A3550" w:rsidRPr="00B23F92">
        <w:rPr>
          <w:color w:val="000000" w:themeColor="text1"/>
        </w:rPr>
        <w:t>tion</w:t>
      </w:r>
      <w:r w:rsidR="00126217" w:rsidRPr="00B23F92">
        <w:rPr>
          <w:color w:val="000000" w:themeColor="text1"/>
        </w:rPr>
        <w:t xml:space="preserve"> </w:t>
      </w:r>
      <w:r w:rsidR="005A3550"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="005A3550"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5A3550" w:rsidRPr="00B23F92">
        <w:rPr>
          <w:color w:val="000000" w:themeColor="text1"/>
        </w:rPr>
        <w:t>exclusion.</w:t>
      </w:r>
    </w:p>
    <w:p w14:paraId="7DD344DE" w14:textId="77777777" w:rsidR="00261846" w:rsidRPr="00B23F92" w:rsidRDefault="00261846" w:rsidP="005A3550">
      <w:pPr>
        <w:rPr>
          <w:color w:val="000000" w:themeColor="text1"/>
        </w:rPr>
      </w:pPr>
      <w:r w:rsidRPr="00B23F92">
        <w:rPr>
          <w:color w:val="000000" w:themeColor="text1"/>
        </w:rPr>
        <w:t>When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included,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plan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must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include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description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expertise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investigative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team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dealing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age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included,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appropriateness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available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facilities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accommodate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inclusion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sufficient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number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contribute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meaningful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analysis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relative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purpose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study,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additional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safeguards,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necessary.</w:t>
      </w:r>
    </w:p>
    <w:p w14:paraId="2D05E598" w14:textId="77777777" w:rsidR="00F66F26" w:rsidRPr="00B23F92" w:rsidRDefault="00261846" w:rsidP="00126217">
      <w:pPr>
        <w:pStyle w:val="Heading3"/>
        <w:rPr>
          <w:color w:val="000000" w:themeColor="text1"/>
          <w:szCs w:val="18"/>
        </w:rPr>
      </w:pPr>
      <w:r w:rsidRPr="00B23F92">
        <w:rPr>
          <w:color w:val="000000" w:themeColor="text1"/>
        </w:rPr>
        <w:t>Categories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</w:p>
    <w:p w14:paraId="5645D641" w14:textId="77777777" w:rsidR="00126217" w:rsidRPr="00B23F92" w:rsidRDefault="00261846" w:rsidP="00F66F26">
      <w:pPr>
        <w:rPr>
          <w:color w:val="000000" w:themeColor="text1"/>
        </w:rPr>
      </w:pP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vulnerable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population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require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additional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protections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potential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subjects.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Special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ethical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regulatory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considerations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apply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reviewing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involving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New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York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State,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person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under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age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18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not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married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should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considered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purposes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Policy.</w:t>
      </w:r>
    </w:p>
    <w:p w14:paraId="503953E1" w14:textId="19737002" w:rsidR="00261846" w:rsidRPr="00B23F92" w:rsidRDefault="00A506CA" w:rsidP="00F66F26">
      <w:pPr>
        <w:rPr>
          <w:color w:val="000000" w:themeColor="text1"/>
        </w:rPr>
      </w:pPr>
      <w:r w:rsidRPr="00B23F92">
        <w:rPr>
          <w:color w:val="000000" w:themeColor="text1"/>
        </w:rPr>
        <w:t>D</w:t>
      </w:r>
      <w:r w:rsidR="00261846" w:rsidRPr="00B23F92">
        <w:rPr>
          <w:color w:val="000000" w:themeColor="text1"/>
        </w:rPr>
        <w:t>uring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review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process,</w:t>
      </w:r>
      <w:r w:rsidRPr="00B23F92">
        <w:rPr>
          <w:color w:val="000000" w:themeColor="text1"/>
        </w:rPr>
        <w:t xml:space="preserve"> the IRB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must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document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study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f</w:t>
      </w:r>
      <w:r w:rsidRPr="00B23F92">
        <w:rPr>
          <w:color w:val="000000" w:themeColor="text1"/>
        </w:rPr>
        <w:t>alling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into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one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below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categories,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pursuant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Subpart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D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45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CFR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46,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based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on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degree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risk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benefit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individual</w:t>
      </w:r>
      <w:r w:rsidR="00126217" w:rsidRPr="00B23F92">
        <w:rPr>
          <w:color w:val="000000" w:themeColor="text1"/>
        </w:rPr>
        <w:t xml:space="preserve"> </w:t>
      </w:r>
      <w:r w:rsidR="008A3982" w:rsidRPr="00B23F92">
        <w:rPr>
          <w:color w:val="000000" w:themeColor="text1"/>
        </w:rPr>
        <w:t>subjects:</w:t>
      </w:r>
    </w:p>
    <w:p w14:paraId="4253B787" w14:textId="77777777" w:rsidR="00126217" w:rsidRPr="00B23F92" w:rsidRDefault="00261846" w:rsidP="008A3982">
      <w:pPr>
        <w:numPr>
          <w:ilvl w:val="0"/>
          <w:numId w:val="12"/>
        </w:numPr>
        <w:rPr>
          <w:color w:val="000000" w:themeColor="text1"/>
        </w:rPr>
      </w:pP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not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involving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greater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minimal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risk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(“Section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404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Research”),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where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adequate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provisions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made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soliciting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permission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their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guardians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(See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below,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Guidance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Document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Creation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Process/Document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Waiver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Permission).</w:t>
      </w:r>
    </w:p>
    <w:p w14:paraId="20B49940" w14:textId="77777777" w:rsidR="00126217" w:rsidRPr="00B23F92" w:rsidRDefault="00261846" w:rsidP="008A3982">
      <w:pPr>
        <w:numPr>
          <w:ilvl w:val="0"/>
          <w:numId w:val="12"/>
        </w:numPr>
        <w:rPr>
          <w:color w:val="000000" w:themeColor="text1"/>
        </w:rPr>
      </w:pP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involving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greater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minimal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risk,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but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presenting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prospect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direct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benefit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individual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subjects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(“Section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405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Research”).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405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approvable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only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if:</w:t>
      </w:r>
    </w:p>
    <w:p w14:paraId="4B67F29B" w14:textId="77777777" w:rsidR="00F66F26" w:rsidRPr="00B23F92" w:rsidRDefault="00261846" w:rsidP="008A3982">
      <w:pPr>
        <w:pStyle w:val="Normal-bullit1"/>
        <w:tabs>
          <w:tab w:val="clear" w:pos="720"/>
          <w:tab w:val="num" w:pos="1440"/>
        </w:tabs>
        <w:ind w:left="1440"/>
        <w:rPr>
          <w:color w:val="000000" w:themeColor="text1"/>
        </w:rPr>
      </w:pP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risk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justified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antic</w:t>
      </w:r>
      <w:r w:rsidR="00F66F26" w:rsidRPr="00B23F92">
        <w:rPr>
          <w:color w:val="000000" w:themeColor="text1"/>
        </w:rPr>
        <w:t>ipated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benefit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subjects</w:t>
      </w:r>
    </w:p>
    <w:p w14:paraId="6DD313A6" w14:textId="77777777" w:rsidR="00F66F26" w:rsidRPr="00B23F92" w:rsidRDefault="00261846" w:rsidP="008A3982">
      <w:pPr>
        <w:pStyle w:val="Normal-bullit1"/>
        <w:tabs>
          <w:tab w:val="clear" w:pos="720"/>
          <w:tab w:val="num" w:pos="1440"/>
        </w:tabs>
        <w:ind w:left="1440"/>
        <w:rPr>
          <w:color w:val="000000" w:themeColor="text1"/>
        </w:rPr>
      </w:pP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relationship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anticipated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benefit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risk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least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favorable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subjects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presented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available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alternative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approaches</w:t>
      </w:r>
    </w:p>
    <w:p w14:paraId="55A5C45C" w14:textId="77777777" w:rsidR="00126217" w:rsidRPr="00B23F92" w:rsidRDefault="00261846" w:rsidP="008A3982">
      <w:pPr>
        <w:pStyle w:val="Normal-bullit1"/>
        <w:tabs>
          <w:tab w:val="clear" w:pos="720"/>
          <w:tab w:val="num" w:pos="1440"/>
        </w:tabs>
        <w:ind w:left="1440"/>
        <w:rPr>
          <w:color w:val="000000" w:themeColor="text1"/>
        </w:rPr>
      </w:pPr>
      <w:r w:rsidRPr="00B23F92">
        <w:rPr>
          <w:color w:val="000000" w:themeColor="text1"/>
        </w:rPr>
        <w:t>Adequate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provisions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made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soliciting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permission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their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guardians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(See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Parental/Guardian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Permission,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below).</w:t>
      </w:r>
    </w:p>
    <w:p w14:paraId="536ADD67" w14:textId="77777777" w:rsidR="00126217" w:rsidRPr="00B23F92" w:rsidRDefault="00261846" w:rsidP="00E11EA5">
      <w:pPr>
        <w:numPr>
          <w:ilvl w:val="0"/>
          <w:numId w:val="12"/>
        </w:numPr>
        <w:rPr>
          <w:color w:val="000000" w:themeColor="text1"/>
        </w:rPr>
      </w:pP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involving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greater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minimal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risk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prospect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direct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benefit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individual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subjects,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but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likely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yield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generalizable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knowledge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about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subject’s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disorder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condition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(“Section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406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Research”).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406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approvable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only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if:</w:t>
      </w:r>
    </w:p>
    <w:p w14:paraId="45BCAC68" w14:textId="77777777" w:rsidR="00F66F26" w:rsidRPr="00B23F92" w:rsidRDefault="00261846" w:rsidP="008A3982">
      <w:pPr>
        <w:pStyle w:val="Normal-bullit1"/>
        <w:tabs>
          <w:tab w:val="clear" w:pos="720"/>
          <w:tab w:val="num" w:pos="1440"/>
        </w:tabs>
        <w:ind w:left="1440"/>
        <w:rPr>
          <w:color w:val="000000" w:themeColor="text1"/>
        </w:rPr>
      </w:pP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risk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presents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more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minor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increase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over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minimal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risk</w:t>
      </w:r>
    </w:p>
    <w:p w14:paraId="722EF283" w14:textId="77777777" w:rsidR="00F66F26" w:rsidRPr="00B23F92" w:rsidRDefault="00261846" w:rsidP="008A3982">
      <w:pPr>
        <w:pStyle w:val="Normal-bullit1"/>
        <w:tabs>
          <w:tab w:val="clear" w:pos="720"/>
          <w:tab w:val="num" w:pos="1440"/>
        </w:tabs>
        <w:ind w:left="1440"/>
        <w:rPr>
          <w:color w:val="000000" w:themeColor="text1"/>
        </w:rPr>
      </w:pP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intervention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procedure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presents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experiences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subjects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reasonably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commensurate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those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inherent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their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actual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expected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medical,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dental,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psychological,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</w:t>
      </w:r>
      <w:r w:rsidR="00F66F26" w:rsidRPr="00B23F92">
        <w:rPr>
          <w:color w:val="000000" w:themeColor="text1"/>
        </w:rPr>
        <w:t>ocial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educational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situations</w:t>
      </w:r>
    </w:p>
    <w:p w14:paraId="0E1A788A" w14:textId="77777777" w:rsidR="00F66F26" w:rsidRPr="00B23F92" w:rsidRDefault="00261846" w:rsidP="008A3982">
      <w:pPr>
        <w:pStyle w:val="Normal-bullit1"/>
        <w:tabs>
          <w:tab w:val="clear" w:pos="720"/>
          <w:tab w:val="num" w:pos="1440"/>
        </w:tabs>
        <w:ind w:left="1440"/>
        <w:rPr>
          <w:color w:val="000000" w:themeColor="text1"/>
        </w:rPr>
      </w:pP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intervention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procedure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likely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yield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generalizable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knowledge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about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subjects’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disorder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condition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which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vital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importance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understanding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amelioration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subj</w:t>
      </w:r>
      <w:r w:rsidR="00F66F26" w:rsidRPr="00B23F92">
        <w:rPr>
          <w:color w:val="000000" w:themeColor="text1"/>
        </w:rPr>
        <w:t>ects’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disorder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condition</w:t>
      </w:r>
    </w:p>
    <w:p w14:paraId="288EFDCE" w14:textId="77777777" w:rsidR="00261846" w:rsidRPr="00B23F92" w:rsidRDefault="00261846" w:rsidP="008A3982">
      <w:pPr>
        <w:pStyle w:val="Normal-bullit1"/>
        <w:tabs>
          <w:tab w:val="clear" w:pos="720"/>
          <w:tab w:val="num" w:pos="1440"/>
        </w:tabs>
        <w:ind w:left="1440"/>
        <w:rPr>
          <w:color w:val="000000" w:themeColor="text1"/>
        </w:rPr>
      </w:pPr>
      <w:r w:rsidRPr="00B23F92">
        <w:rPr>
          <w:color w:val="000000" w:themeColor="text1"/>
        </w:rPr>
        <w:t>Adequate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provisions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made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soliciti</w:t>
      </w:r>
      <w:r w:rsidR="00F66F26" w:rsidRPr="00B23F92">
        <w:rPr>
          <w:color w:val="000000" w:themeColor="text1"/>
        </w:rPr>
        <w:t>ng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assent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permission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their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legal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guardians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(See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i/>
          <w:color w:val="000000" w:themeColor="text1"/>
        </w:rPr>
        <w:t>Parental/Guardian</w:t>
      </w:r>
      <w:r w:rsidR="00126217" w:rsidRPr="00B23F92">
        <w:rPr>
          <w:i/>
          <w:color w:val="000000" w:themeColor="text1"/>
        </w:rPr>
        <w:t xml:space="preserve"> </w:t>
      </w:r>
      <w:r w:rsidRPr="00B23F92">
        <w:rPr>
          <w:i/>
          <w:color w:val="000000" w:themeColor="text1"/>
        </w:rPr>
        <w:t>Permission,</w:t>
      </w:r>
      <w:r w:rsidR="00126217" w:rsidRPr="00B23F92">
        <w:rPr>
          <w:i/>
          <w:color w:val="000000" w:themeColor="text1"/>
        </w:rPr>
        <w:t xml:space="preserve"> </w:t>
      </w:r>
      <w:r w:rsidRPr="00B23F92">
        <w:rPr>
          <w:i/>
          <w:color w:val="000000" w:themeColor="text1"/>
        </w:rPr>
        <w:t>Child</w:t>
      </w:r>
      <w:r w:rsidR="00126217" w:rsidRPr="00B23F92">
        <w:rPr>
          <w:i/>
          <w:color w:val="000000" w:themeColor="text1"/>
        </w:rPr>
        <w:t xml:space="preserve"> </w:t>
      </w:r>
      <w:r w:rsidRPr="00B23F92">
        <w:rPr>
          <w:i/>
          <w:color w:val="000000" w:themeColor="text1"/>
        </w:rPr>
        <w:t>Assent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below)</w:t>
      </w:r>
    </w:p>
    <w:p w14:paraId="10ABA01B" w14:textId="77777777" w:rsidR="00261846" w:rsidRPr="00B23F92" w:rsidRDefault="00261846" w:rsidP="00E11EA5">
      <w:pPr>
        <w:numPr>
          <w:ilvl w:val="0"/>
          <w:numId w:val="12"/>
        </w:numPr>
        <w:rPr>
          <w:color w:val="000000" w:themeColor="text1"/>
        </w:rPr>
      </w:pP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does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not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fall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one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three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categories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above,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but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which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finds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presents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opportunity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understand,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prevent,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alleviate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serious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problem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affecting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health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welfare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(“Section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407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Research”).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407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</w:t>
      </w:r>
      <w:r w:rsidR="00F66F26" w:rsidRPr="00B23F92">
        <w:rPr>
          <w:color w:val="000000" w:themeColor="text1"/>
        </w:rPr>
        <w:t>search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may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only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conducted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if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t</w:t>
      </w:r>
      <w:r w:rsidRPr="00B23F92">
        <w:rPr>
          <w:color w:val="000000" w:themeColor="text1"/>
        </w:rPr>
        <w:t>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Secretary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DHHS,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after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consultation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panel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experts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pertinent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disciplines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following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opportunity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public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review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comment,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determined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either:</w:t>
      </w:r>
    </w:p>
    <w:p w14:paraId="2329DE3D" w14:textId="77777777" w:rsidR="00F66F26" w:rsidRPr="00B23F92" w:rsidRDefault="00261846" w:rsidP="008A3982">
      <w:pPr>
        <w:pStyle w:val="Normal-bullit1"/>
        <w:tabs>
          <w:tab w:val="clear" w:pos="720"/>
          <w:tab w:val="num" w:pos="1440"/>
        </w:tabs>
        <w:ind w:left="1440"/>
        <w:rPr>
          <w:color w:val="000000" w:themeColor="text1"/>
        </w:rPr>
      </w:pPr>
      <w:r w:rsidRPr="00B23F92">
        <w:rPr>
          <w:color w:val="000000" w:themeColor="text1"/>
        </w:rPr>
        <w:lastRenderedPageBreak/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404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405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</w:t>
      </w:r>
      <w:r w:rsidR="00F66F26" w:rsidRPr="00B23F92">
        <w:rPr>
          <w:color w:val="000000" w:themeColor="text1"/>
        </w:rPr>
        <w:t>search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Section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406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Research</w:t>
      </w:r>
    </w:p>
    <w:p w14:paraId="183F8701" w14:textId="77777777" w:rsidR="00126217" w:rsidRPr="00B23F92" w:rsidRDefault="00261846" w:rsidP="008A3982">
      <w:pPr>
        <w:pStyle w:val="Normal-bullit1"/>
        <w:numPr>
          <w:ilvl w:val="0"/>
          <w:numId w:val="0"/>
        </w:numPr>
        <w:ind w:left="1080"/>
        <w:rPr>
          <w:color w:val="000000" w:themeColor="text1"/>
        </w:rPr>
      </w:pPr>
      <w:r w:rsidRPr="00B23F92">
        <w:rPr>
          <w:color w:val="000000" w:themeColor="text1"/>
        </w:rPr>
        <w:t>or</w:t>
      </w:r>
    </w:p>
    <w:p w14:paraId="582AF7B8" w14:textId="77777777" w:rsidR="00261846" w:rsidRPr="00B23F92" w:rsidRDefault="00261846" w:rsidP="008A3982">
      <w:pPr>
        <w:pStyle w:val="Normal-bullit1"/>
        <w:tabs>
          <w:tab w:val="clear" w:pos="720"/>
          <w:tab w:val="num" w:pos="1440"/>
        </w:tabs>
        <w:ind w:left="1440"/>
        <w:rPr>
          <w:color w:val="000000" w:themeColor="text1"/>
        </w:rPr>
      </w:pPr>
      <w:r w:rsidRPr="00B23F92">
        <w:rPr>
          <w:color w:val="000000" w:themeColor="text1"/>
        </w:rPr>
        <w:t>Th</w:t>
      </w:r>
      <w:r w:rsidR="00F66F26" w:rsidRPr="00B23F92">
        <w:rPr>
          <w:color w:val="000000" w:themeColor="text1"/>
        </w:rPr>
        <w:t>e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following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conditions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="00F66F26" w:rsidRPr="00B23F92">
        <w:rPr>
          <w:color w:val="000000" w:themeColor="text1"/>
        </w:rPr>
        <w:t>met:</w:t>
      </w:r>
    </w:p>
    <w:p w14:paraId="036E3D31" w14:textId="77777777" w:rsidR="00F66F26" w:rsidRPr="00B23F92" w:rsidRDefault="00261846" w:rsidP="008A3982">
      <w:pPr>
        <w:pStyle w:val="normal-bullit2"/>
        <w:tabs>
          <w:tab w:val="clear" w:pos="1440"/>
          <w:tab w:val="num" w:pos="2160"/>
        </w:tabs>
        <w:ind w:left="2160"/>
        <w:rPr>
          <w:color w:val="000000" w:themeColor="text1"/>
        </w:rPr>
      </w:pP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presents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reasonable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opportunity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further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understanding,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prevention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alleviation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serious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problem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affects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health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welfare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</w:p>
    <w:p w14:paraId="372E3121" w14:textId="77777777" w:rsidR="00F66F26" w:rsidRPr="00B23F92" w:rsidRDefault="00261846" w:rsidP="008A3982">
      <w:pPr>
        <w:pStyle w:val="normal-bullit2"/>
        <w:tabs>
          <w:tab w:val="clear" w:pos="1440"/>
          <w:tab w:val="num" w:pos="2160"/>
        </w:tabs>
        <w:ind w:left="2160"/>
        <w:rPr>
          <w:color w:val="000000" w:themeColor="text1"/>
        </w:rPr>
      </w:pP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conducted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accordance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ethical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principles</w:t>
      </w:r>
    </w:p>
    <w:p w14:paraId="56A13833" w14:textId="78CF3174" w:rsidR="00A506CA" w:rsidRPr="00B23F92" w:rsidRDefault="00261846" w:rsidP="00A506CA">
      <w:pPr>
        <w:pStyle w:val="normal-bullit2"/>
        <w:tabs>
          <w:tab w:val="clear" w:pos="1440"/>
          <w:tab w:val="num" w:pos="2160"/>
        </w:tabs>
        <w:ind w:left="2160"/>
        <w:rPr>
          <w:color w:val="000000" w:themeColor="text1"/>
        </w:rPr>
      </w:pPr>
      <w:r w:rsidRPr="00B23F92">
        <w:rPr>
          <w:color w:val="000000" w:themeColor="text1"/>
        </w:rPr>
        <w:t>Adequate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provisions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made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soliciting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permission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their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guardians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(See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i/>
          <w:iCs/>
          <w:color w:val="000000" w:themeColor="text1"/>
        </w:rPr>
        <w:t>Parental/Guardian</w:t>
      </w:r>
      <w:r w:rsidR="00126217" w:rsidRPr="00B23F92">
        <w:rPr>
          <w:i/>
          <w:iCs/>
          <w:color w:val="000000" w:themeColor="text1"/>
        </w:rPr>
        <w:t xml:space="preserve"> </w:t>
      </w:r>
      <w:r w:rsidRPr="00B23F92">
        <w:rPr>
          <w:i/>
          <w:iCs/>
          <w:color w:val="000000" w:themeColor="text1"/>
        </w:rPr>
        <w:t>Permission,</w:t>
      </w:r>
      <w:r w:rsidR="00126217" w:rsidRPr="00B23F92">
        <w:rPr>
          <w:i/>
          <w:iCs/>
          <w:color w:val="000000" w:themeColor="text1"/>
        </w:rPr>
        <w:t xml:space="preserve"> </w:t>
      </w:r>
      <w:r w:rsidRPr="00B23F92">
        <w:rPr>
          <w:i/>
          <w:iCs/>
          <w:color w:val="000000" w:themeColor="text1"/>
        </w:rPr>
        <w:t>Child</w:t>
      </w:r>
      <w:r w:rsidR="00126217" w:rsidRPr="00B23F92">
        <w:rPr>
          <w:i/>
          <w:iCs/>
          <w:color w:val="000000" w:themeColor="text1"/>
        </w:rPr>
        <w:t xml:space="preserve"> </w:t>
      </w:r>
      <w:r w:rsidRPr="00B23F92">
        <w:rPr>
          <w:i/>
          <w:iCs/>
          <w:color w:val="000000" w:themeColor="text1"/>
        </w:rPr>
        <w:t>Assent</w:t>
      </w:r>
      <w:r w:rsidR="00126217" w:rsidRPr="00B23F92">
        <w:rPr>
          <w:i/>
          <w:iCs/>
          <w:color w:val="000000" w:themeColor="text1"/>
        </w:rPr>
        <w:t xml:space="preserve"> </w:t>
      </w:r>
      <w:r w:rsidRPr="00B23F92">
        <w:rPr>
          <w:color w:val="000000" w:themeColor="text1"/>
        </w:rPr>
        <w:t>below).</w:t>
      </w:r>
    </w:p>
    <w:p w14:paraId="04E2120E" w14:textId="77777777" w:rsidR="00A506CA" w:rsidRPr="00B23F92" w:rsidRDefault="00A506CA" w:rsidP="00A506CA">
      <w:pPr>
        <w:pStyle w:val="normal-bullit2"/>
        <w:numPr>
          <w:ilvl w:val="0"/>
          <w:numId w:val="0"/>
        </w:numPr>
        <w:ind w:left="720"/>
        <w:rPr>
          <w:color w:val="000000" w:themeColor="text1"/>
        </w:rPr>
      </w:pPr>
    </w:p>
    <w:p w14:paraId="121FA437" w14:textId="77777777" w:rsidR="00261846" w:rsidRPr="00B23F92" w:rsidRDefault="00261846" w:rsidP="00EE1F61">
      <w:pPr>
        <w:rPr>
          <w:color w:val="000000" w:themeColor="text1"/>
        </w:rPr>
      </w:pP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minutes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relevant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Board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meeting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shall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document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Subpart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category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under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which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protocol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approved,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together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protocol-specific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information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which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justifies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IRB’s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finding.</w:t>
      </w:r>
    </w:p>
    <w:p w14:paraId="62EB9079" w14:textId="77777777" w:rsidR="00EE1F61" w:rsidRPr="00B23F92" w:rsidRDefault="00261846" w:rsidP="00EE1F61">
      <w:pPr>
        <w:pStyle w:val="Heading2"/>
        <w:rPr>
          <w:color w:val="000000" w:themeColor="text1"/>
        </w:rPr>
      </w:pPr>
      <w:r w:rsidRPr="00B23F92">
        <w:rPr>
          <w:color w:val="000000" w:themeColor="text1"/>
        </w:rPr>
        <w:t>Submission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Elements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Necessary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Review</w:t>
      </w:r>
    </w:p>
    <w:p w14:paraId="02124F2C" w14:textId="77777777" w:rsidR="00261846" w:rsidRPr="00B23F92" w:rsidRDefault="00261846" w:rsidP="00EE1F61">
      <w:pPr>
        <w:rPr>
          <w:color w:val="000000" w:themeColor="text1"/>
        </w:rPr>
      </w:pPr>
      <w:r w:rsidRPr="00B23F92">
        <w:rPr>
          <w:color w:val="000000" w:themeColor="text1"/>
        </w:rPr>
        <w:t>Information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protocol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must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include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following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information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ensure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determine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above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findings:</w:t>
      </w:r>
    </w:p>
    <w:p w14:paraId="1373FCF7" w14:textId="77777777" w:rsidR="00126217" w:rsidRPr="00B23F92" w:rsidRDefault="00261846" w:rsidP="00EE1F61">
      <w:pPr>
        <w:pStyle w:val="Normal-bullit1"/>
        <w:rPr>
          <w:color w:val="000000" w:themeColor="text1"/>
        </w:rPr>
      </w:pPr>
      <w:r w:rsidRPr="00B23F92">
        <w:rPr>
          <w:color w:val="000000" w:themeColor="text1"/>
        </w:rPr>
        <w:t>Complete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Risk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Benefit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information.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potential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risks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benefits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related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must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described.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Without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complete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information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not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determine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category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approval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study.</w:t>
      </w:r>
    </w:p>
    <w:p w14:paraId="63BC4920" w14:textId="77777777" w:rsidR="00126217" w:rsidRPr="00B23F92" w:rsidRDefault="00261846" w:rsidP="00EE1F61">
      <w:pPr>
        <w:pStyle w:val="Normal-bullit1"/>
        <w:rPr>
          <w:color w:val="000000" w:themeColor="text1"/>
        </w:rPr>
      </w:pPr>
      <w:r w:rsidRPr="00B23F92">
        <w:rPr>
          <w:color w:val="000000" w:themeColor="text1"/>
        </w:rPr>
        <w:t>Complete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description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process.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Information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must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included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regarding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who,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what,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when,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where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how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process/consent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documentation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completed.</w:t>
      </w:r>
    </w:p>
    <w:p w14:paraId="494E46B6" w14:textId="77777777" w:rsidR="00EE1F61" w:rsidRPr="00B23F92" w:rsidRDefault="00261846" w:rsidP="00EE1F61">
      <w:pPr>
        <w:pStyle w:val="Heading2"/>
        <w:rPr>
          <w:color w:val="000000" w:themeColor="text1"/>
          <w:szCs w:val="18"/>
        </w:rPr>
      </w:pPr>
      <w:r w:rsidRPr="00B23F92">
        <w:rPr>
          <w:color w:val="000000" w:themeColor="text1"/>
        </w:rPr>
        <w:t>Wards</w:t>
      </w:r>
    </w:p>
    <w:p w14:paraId="5AFB9825" w14:textId="77777777" w:rsidR="00126217" w:rsidRPr="00B23F92" w:rsidRDefault="00261846" w:rsidP="00EE1F61">
      <w:pPr>
        <w:rPr>
          <w:color w:val="000000" w:themeColor="text1"/>
        </w:rPr>
      </w:pP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Wards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included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404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405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Wards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included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406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407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only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determines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is:</w:t>
      </w:r>
    </w:p>
    <w:p w14:paraId="0108B017" w14:textId="77777777" w:rsidR="00EE1F61" w:rsidRPr="00B23F92" w:rsidRDefault="00261846" w:rsidP="00EE1F61">
      <w:pPr>
        <w:pStyle w:val="Normal-bullit1"/>
        <w:rPr>
          <w:color w:val="000000" w:themeColor="text1"/>
        </w:rPr>
      </w:pPr>
      <w:r w:rsidRPr="00B23F92">
        <w:rPr>
          <w:color w:val="000000" w:themeColor="text1"/>
        </w:rPr>
        <w:t>Related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their</w:t>
      </w:r>
      <w:r w:rsidR="00126217" w:rsidRPr="00B23F92">
        <w:rPr>
          <w:color w:val="000000" w:themeColor="text1"/>
        </w:rPr>
        <w:t xml:space="preserve"> </w:t>
      </w:r>
      <w:r w:rsidR="00EE1F61" w:rsidRPr="00B23F92">
        <w:rPr>
          <w:color w:val="000000" w:themeColor="text1"/>
        </w:rPr>
        <w:t>status</w:t>
      </w:r>
      <w:r w:rsidR="00126217" w:rsidRPr="00B23F92">
        <w:rPr>
          <w:color w:val="000000" w:themeColor="text1"/>
        </w:rPr>
        <w:t xml:space="preserve"> </w:t>
      </w:r>
      <w:r w:rsidR="00EE1F61" w:rsidRPr="00B23F92">
        <w:rPr>
          <w:color w:val="000000" w:themeColor="text1"/>
        </w:rPr>
        <w:t>as</w:t>
      </w:r>
      <w:r w:rsidR="00126217" w:rsidRPr="00B23F92">
        <w:rPr>
          <w:color w:val="000000" w:themeColor="text1"/>
        </w:rPr>
        <w:t xml:space="preserve"> </w:t>
      </w:r>
      <w:r w:rsidR="00EE1F61" w:rsidRPr="00B23F92">
        <w:rPr>
          <w:color w:val="000000" w:themeColor="text1"/>
        </w:rPr>
        <w:t>wards</w:t>
      </w:r>
    </w:p>
    <w:p w14:paraId="4558245E" w14:textId="77777777" w:rsidR="00126217" w:rsidRPr="00B23F92" w:rsidRDefault="00261846" w:rsidP="00EE1F61">
      <w:pPr>
        <w:pStyle w:val="Normal-bullit1"/>
        <w:numPr>
          <w:ilvl w:val="0"/>
          <w:numId w:val="0"/>
        </w:numPr>
        <w:ind w:left="360"/>
        <w:rPr>
          <w:color w:val="000000" w:themeColor="text1"/>
        </w:rPr>
      </w:pPr>
      <w:r w:rsidRPr="00B23F92">
        <w:rPr>
          <w:color w:val="000000" w:themeColor="text1"/>
        </w:rPr>
        <w:t>or</w:t>
      </w:r>
    </w:p>
    <w:p w14:paraId="617804F6" w14:textId="77777777" w:rsidR="00126217" w:rsidRPr="00B23F92" w:rsidRDefault="00261846" w:rsidP="00EE1F61">
      <w:pPr>
        <w:pStyle w:val="Normal-bullit1"/>
        <w:rPr>
          <w:color w:val="000000" w:themeColor="text1"/>
        </w:rPr>
      </w:pPr>
      <w:r w:rsidRPr="00B23F92">
        <w:rPr>
          <w:color w:val="000000" w:themeColor="text1"/>
        </w:rPr>
        <w:t>Conducted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schools,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camps,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hospitals,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institutions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similar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settings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which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majority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involved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subjects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not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Wards.</w:t>
      </w:r>
    </w:p>
    <w:p w14:paraId="54633C5D" w14:textId="77777777" w:rsidR="00126217" w:rsidRPr="00B23F92" w:rsidRDefault="00261846" w:rsidP="00EE1F61">
      <w:pPr>
        <w:rPr>
          <w:color w:val="000000" w:themeColor="text1"/>
        </w:rPr>
      </w:pP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Wards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not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enrolled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406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407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without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express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approval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IRB.</w:t>
      </w:r>
    </w:p>
    <w:p w14:paraId="7E0FA44F" w14:textId="77777777" w:rsidR="00126217" w:rsidRPr="00B23F92" w:rsidRDefault="00261846" w:rsidP="00EE1F61">
      <w:pPr>
        <w:rPr>
          <w:color w:val="000000" w:themeColor="text1"/>
        </w:rPr>
      </w:pP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New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York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City,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Wards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included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406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407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Administration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Children’s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Services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(ACS)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must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notified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agree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inclusion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Wards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study.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addition,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permission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enrollment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each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Ward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study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must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obtained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from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person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designated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ACS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give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permission.</w:t>
      </w:r>
    </w:p>
    <w:p w14:paraId="391F5373" w14:textId="77777777" w:rsidR="00261846" w:rsidRPr="00B23F92" w:rsidRDefault="00261846" w:rsidP="00EE1F61">
      <w:pPr>
        <w:rPr>
          <w:color w:val="000000" w:themeColor="text1"/>
        </w:rPr>
      </w:pPr>
      <w:r w:rsidRPr="00B23F92">
        <w:rPr>
          <w:color w:val="000000" w:themeColor="text1"/>
        </w:rPr>
        <w:t>If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Wards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included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study,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investigator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must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provide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detailed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information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about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proposed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permission/assent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process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well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identity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authority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individuals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provide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permission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Ward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subjects.</w:t>
      </w:r>
    </w:p>
    <w:p w14:paraId="01D13A39" w14:textId="77777777" w:rsidR="00126217" w:rsidRPr="00B23F92" w:rsidRDefault="00261846" w:rsidP="00EE1F61">
      <w:pPr>
        <w:pStyle w:val="Heading3"/>
        <w:rPr>
          <w:color w:val="000000" w:themeColor="text1"/>
          <w:szCs w:val="18"/>
        </w:rPr>
      </w:pP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Review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Involving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Wards</w:t>
      </w:r>
    </w:p>
    <w:p w14:paraId="52B34F35" w14:textId="77777777" w:rsidR="00126217" w:rsidRPr="00B23F92" w:rsidRDefault="00261846" w:rsidP="00EE1F61">
      <w:pPr>
        <w:rPr>
          <w:color w:val="000000" w:themeColor="text1"/>
        </w:rPr>
      </w:pPr>
      <w:r w:rsidRPr="00B23F92">
        <w:rPr>
          <w:color w:val="000000" w:themeColor="text1"/>
        </w:rPr>
        <w:t>If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Wards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included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406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407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shall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require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appointment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advocate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each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Ward,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addition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other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individual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acting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behalf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guardian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loco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parentis.</w:t>
      </w:r>
      <w:r w:rsidR="00126217" w:rsidRPr="00B23F92">
        <w:rPr>
          <w:color w:val="000000" w:themeColor="text1"/>
        </w:rPr>
        <w:t xml:space="preserve"> </w:t>
      </w:r>
    </w:p>
    <w:p w14:paraId="43F28E6E" w14:textId="77777777" w:rsidR="00261846" w:rsidRPr="00B23F92" w:rsidRDefault="00261846" w:rsidP="00EE1F61">
      <w:pPr>
        <w:rPr>
          <w:color w:val="000000" w:themeColor="text1"/>
        </w:rPr>
      </w:pPr>
      <w:r w:rsidRPr="00B23F92">
        <w:rPr>
          <w:color w:val="000000" w:themeColor="text1"/>
        </w:rPr>
        <w:lastRenderedPageBreak/>
        <w:t>One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individual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serve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advocate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more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one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advocate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should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individual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background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experience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act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best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interest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duration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child’s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participation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study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not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associated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other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investigator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guardian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organization.</w:t>
      </w:r>
    </w:p>
    <w:p w14:paraId="4B4EEB33" w14:textId="77777777" w:rsidR="00EE1F61" w:rsidRPr="00B23F92" w:rsidRDefault="00261846" w:rsidP="00EE1F61">
      <w:pPr>
        <w:pStyle w:val="Heading2"/>
        <w:rPr>
          <w:color w:val="000000" w:themeColor="text1"/>
          <w:szCs w:val="18"/>
        </w:rPr>
      </w:pPr>
      <w:r w:rsidRPr="00B23F92">
        <w:rPr>
          <w:color w:val="000000" w:themeColor="text1"/>
        </w:rPr>
        <w:t>Exempt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</w:p>
    <w:p w14:paraId="11D27A9A" w14:textId="09F8D427" w:rsidR="00FD6CD8" w:rsidRPr="00B23F92" w:rsidRDefault="00261846" w:rsidP="00B23F92">
      <w:pPr>
        <w:rPr>
          <w:color w:val="000000" w:themeColor="text1"/>
        </w:rPr>
      </w:pPr>
      <w:r w:rsidRPr="00B23F92">
        <w:rPr>
          <w:color w:val="000000" w:themeColor="text1"/>
        </w:rPr>
        <w:t>All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categories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which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exempt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from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review,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also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exempt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from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review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include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subjects</w:t>
      </w:r>
      <w:r w:rsidR="008646C7" w:rsidRPr="00B23F92">
        <w:rPr>
          <w:color w:val="000000" w:themeColor="text1"/>
        </w:rPr>
        <w:t xml:space="preserve">. Under revised Federal Regulations, children are allowed to participate in research that fall under </w:t>
      </w:r>
      <w:proofErr w:type="gramStart"/>
      <w:r w:rsidR="008646C7" w:rsidRPr="00B23F92">
        <w:rPr>
          <w:color w:val="000000" w:themeColor="text1"/>
        </w:rPr>
        <w:t>several  categories</w:t>
      </w:r>
      <w:proofErr w:type="gramEnd"/>
      <w:r w:rsidR="008646C7" w:rsidRPr="00B23F92">
        <w:rPr>
          <w:color w:val="000000" w:themeColor="text1"/>
        </w:rPr>
        <w:t xml:space="preserve"> of exempt research as per 45 CFR 46.104. </w:t>
      </w:r>
    </w:p>
    <w:p w14:paraId="2FF14AC9" w14:textId="47EB14E2" w:rsidR="00FD6CD8" w:rsidRPr="00B23F92" w:rsidRDefault="00FD6CD8" w:rsidP="00B23F92">
      <w:pPr>
        <w:rPr>
          <w:color w:val="000000" w:themeColor="text1"/>
        </w:rPr>
      </w:pPr>
      <w:r w:rsidRPr="00B23F92">
        <w:rPr>
          <w:color w:val="000000" w:themeColor="text1"/>
        </w:rPr>
        <w:t>Children may not be included in research:</w:t>
      </w:r>
    </w:p>
    <w:p w14:paraId="37A1BAB5" w14:textId="1C737034" w:rsidR="00EE1F61" w:rsidRPr="00B23F92" w:rsidRDefault="00FD6CD8" w:rsidP="00EE1F61">
      <w:pPr>
        <w:pStyle w:val="Normal-bullit1"/>
        <w:rPr>
          <w:color w:val="000000" w:themeColor="text1"/>
        </w:rPr>
      </w:pPr>
      <w:r w:rsidRPr="00B23F92">
        <w:rPr>
          <w:color w:val="000000" w:themeColor="text1"/>
        </w:rPr>
        <w:t>I</w:t>
      </w:r>
      <w:r w:rsidR="00261846" w:rsidRPr="00B23F92">
        <w:rPr>
          <w:color w:val="000000" w:themeColor="text1"/>
        </w:rPr>
        <w:t>nvolving</w:t>
      </w:r>
      <w:r w:rsidR="00126217" w:rsidRPr="00B23F92">
        <w:rPr>
          <w:color w:val="000000" w:themeColor="text1"/>
        </w:rPr>
        <w:t xml:space="preserve"> </w:t>
      </w:r>
      <w:r w:rsidR="00BC2A53" w:rsidRPr="00B23F92">
        <w:rPr>
          <w:color w:val="000000" w:themeColor="text1"/>
        </w:rPr>
        <w:t xml:space="preserve">education tests, </w:t>
      </w:r>
      <w:r w:rsidR="00261846" w:rsidRPr="00B23F92">
        <w:rPr>
          <w:color w:val="000000" w:themeColor="text1"/>
        </w:rPr>
        <w:t>survey</w:t>
      </w:r>
      <w:r w:rsidR="00E30207" w:rsidRPr="00B23F92">
        <w:rPr>
          <w:color w:val="000000" w:themeColor="text1"/>
        </w:rPr>
        <w:t>s,</w:t>
      </w:r>
      <w:r w:rsidR="00BC2A53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interview</w:t>
      </w:r>
      <w:r w:rsidR="00E30207" w:rsidRPr="00B23F92">
        <w:rPr>
          <w:color w:val="000000" w:themeColor="text1"/>
        </w:rPr>
        <w:t>s</w:t>
      </w:r>
      <w:r w:rsidR="00BC2A53" w:rsidRPr="00B23F92">
        <w:rPr>
          <w:color w:val="000000" w:themeColor="text1"/>
        </w:rPr>
        <w:t xml:space="preserve">, or observation of public behavior, </w:t>
      </w:r>
      <w:r w:rsidR="000A7387" w:rsidRPr="00B23F92">
        <w:rPr>
          <w:color w:val="000000" w:themeColor="text1"/>
        </w:rPr>
        <w:t>in</w:t>
      </w:r>
      <w:r w:rsidR="00BC2A53" w:rsidRPr="00B23F92">
        <w:rPr>
          <w:color w:val="000000" w:themeColor="text1"/>
        </w:rPr>
        <w:t xml:space="preserve"> which information obtained is recorded by the investigator in such a manner that the identity of the human subjects CAN readily be ascertained, directly or through identifiers linked to the subjects, and an IRB conducts a limited review to make determination</w:t>
      </w:r>
      <w:r w:rsidR="00A25B92" w:rsidRPr="00B23F92">
        <w:rPr>
          <w:color w:val="000000" w:themeColor="text1"/>
        </w:rPr>
        <w:t>.</w:t>
      </w:r>
      <w:r w:rsidR="00BC2A53" w:rsidRPr="00B23F92">
        <w:rPr>
          <w:color w:val="000000" w:themeColor="text1"/>
        </w:rPr>
        <w:t xml:space="preserve"> </w:t>
      </w:r>
    </w:p>
    <w:p w14:paraId="19BAB68A" w14:textId="77777777" w:rsidR="00EE1F61" w:rsidRPr="00B23F92" w:rsidRDefault="00261846" w:rsidP="00EE1F61">
      <w:pPr>
        <w:pStyle w:val="Heading2"/>
        <w:rPr>
          <w:color w:val="000000" w:themeColor="text1"/>
        </w:rPr>
      </w:pPr>
      <w:r w:rsidRPr="00B23F92">
        <w:rPr>
          <w:color w:val="000000" w:themeColor="text1"/>
        </w:rPr>
        <w:t>Informed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Consent</w:t>
      </w:r>
    </w:p>
    <w:p w14:paraId="2AF99E08" w14:textId="77777777" w:rsidR="00126217" w:rsidRPr="00B23F92" w:rsidRDefault="00261846" w:rsidP="00EE1F61">
      <w:pPr>
        <w:rPr>
          <w:color w:val="000000" w:themeColor="text1"/>
        </w:rPr>
      </w:pP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form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should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written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you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speaking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subject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parents.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allows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form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used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information/presentation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study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teens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considered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“sophisticated’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over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age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14,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comprehend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information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included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form.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case,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appropriate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include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signature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page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only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instead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having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separated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form.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form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reading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level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should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more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eight</w:t>
      </w:r>
      <w:r w:rsidR="00EE1F61" w:rsidRPr="00B23F92">
        <w:rPr>
          <w:color w:val="000000" w:themeColor="text1"/>
        </w:rPr>
        <w:t>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grade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level.</w:t>
      </w:r>
    </w:p>
    <w:p w14:paraId="453060D6" w14:textId="77777777" w:rsidR="00261846" w:rsidRPr="00B23F92" w:rsidRDefault="00261846" w:rsidP="00EE1F61">
      <w:pPr>
        <w:rPr>
          <w:color w:val="000000" w:themeColor="text1"/>
        </w:rPr>
      </w:pPr>
      <w:r w:rsidRPr="00B23F92">
        <w:rPr>
          <w:color w:val="000000" w:themeColor="text1"/>
        </w:rPr>
        <w:t>Example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how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information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should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written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is: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“You/Your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are/is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asked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participate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study.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purpose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study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evaluate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how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safe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effective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new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drug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headaches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You/Your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asked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participate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because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you/your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are/is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headaches.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study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voluntary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you/your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have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participate.”</w:t>
      </w:r>
    </w:p>
    <w:p w14:paraId="6BFFD9F7" w14:textId="77777777" w:rsidR="00EE1F61" w:rsidRPr="00B23F92" w:rsidRDefault="00261846" w:rsidP="00EE1F61">
      <w:pPr>
        <w:pStyle w:val="Heading3"/>
        <w:rPr>
          <w:color w:val="000000" w:themeColor="text1"/>
        </w:rPr>
      </w:pPr>
      <w:r w:rsidRPr="00B23F92">
        <w:rPr>
          <w:color w:val="000000" w:themeColor="text1"/>
        </w:rPr>
        <w:t>Parental/Guardian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Permission,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</w:t>
      </w:r>
    </w:p>
    <w:p w14:paraId="5159CBF8" w14:textId="77777777" w:rsidR="00126217" w:rsidRPr="00B23F92" w:rsidRDefault="00261846" w:rsidP="00EE1F61">
      <w:pPr>
        <w:rPr>
          <w:color w:val="000000" w:themeColor="text1"/>
        </w:rPr>
      </w:pPr>
      <w:r w:rsidRPr="00B23F92">
        <w:rPr>
          <w:color w:val="000000" w:themeColor="text1"/>
        </w:rPr>
        <w:t>Adequate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provisions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must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made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soliciting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permission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guardians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each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involved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study.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New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York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State,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guardian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defined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person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appointed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guardian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by:</w:t>
      </w:r>
    </w:p>
    <w:p w14:paraId="7CF2D104" w14:textId="77777777" w:rsidR="00883A4B" w:rsidRPr="00B23F92" w:rsidRDefault="00261846" w:rsidP="00883A4B">
      <w:pPr>
        <w:pStyle w:val="Normal-bullit1"/>
        <w:rPr>
          <w:color w:val="000000" w:themeColor="text1"/>
        </w:rPr>
      </w:pP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pursuant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designation,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guardianship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approved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Family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Court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Surrogate’s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Court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judge</w:t>
      </w:r>
    </w:p>
    <w:p w14:paraId="0A498430" w14:textId="77777777" w:rsidR="00883A4B" w:rsidRPr="00B23F92" w:rsidRDefault="00883A4B" w:rsidP="00883A4B">
      <w:pPr>
        <w:pStyle w:val="Normal-bullit1"/>
        <w:numPr>
          <w:ilvl w:val="0"/>
          <w:numId w:val="0"/>
        </w:numPr>
        <w:ind w:left="360"/>
        <w:rPr>
          <w:color w:val="000000" w:themeColor="text1"/>
        </w:rPr>
      </w:pPr>
      <w:r w:rsidRPr="00B23F92">
        <w:rPr>
          <w:color w:val="000000" w:themeColor="text1"/>
        </w:rPr>
        <w:t>OR</w:t>
      </w:r>
    </w:p>
    <w:p w14:paraId="4160D11F" w14:textId="77777777" w:rsidR="00261846" w:rsidRPr="00B23F92" w:rsidRDefault="00261846" w:rsidP="00883A4B">
      <w:pPr>
        <w:pStyle w:val="Normal-bullit1"/>
        <w:rPr>
          <w:color w:val="000000" w:themeColor="text1"/>
        </w:rPr>
      </w:pP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Family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Court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Surrogate’s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Court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judge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pursuant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</w:t>
      </w:r>
      <w:r w:rsidR="00883A4B" w:rsidRPr="00B23F92">
        <w:rPr>
          <w:color w:val="000000" w:themeColor="text1"/>
        </w:rPr>
        <w:t>etter</w:t>
      </w:r>
      <w:r w:rsidR="00126217" w:rsidRPr="00B23F92">
        <w:rPr>
          <w:color w:val="000000" w:themeColor="text1"/>
        </w:rPr>
        <w:t xml:space="preserve"> </w:t>
      </w:r>
      <w:r w:rsidR="00883A4B"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="00883A4B" w:rsidRPr="00B23F92">
        <w:rPr>
          <w:color w:val="000000" w:themeColor="text1"/>
        </w:rPr>
        <w:t>order</w:t>
      </w:r>
      <w:r w:rsidR="00126217" w:rsidRPr="00B23F92">
        <w:rPr>
          <w:color w:val="000000" w:themeColor="text1"/>
        </w:rPr>
        <w:t xml:space="preserve"> </w:t>
      </w:r>
      <w:r w:rsidR="00883A4B"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="00883A4B" w:rsidRPr="00B23F92">
        <w:rPr>
          <w:color w:val="000000" w:themeColor="text1"/>
        </w:rPr>
        <w:t>guardianship</w:t>
      </w:r>
    </w:p>
    <w:p w14:paraId="3A436821" w14:textId="77777777" w:rsidR="00261846" w:rsidRPr="00B23F92" w:rsidRDefault="00261846" w:rsidP="00883A4B">
      <w:pPr>
        <w:rPr>
          <w:color w:val="000000" w:themeColor="text1"/>
        </w:rPr>
      </w:pPr>
      <w:r w:rsidRPr="00B23F92">
        <w:rPr>
          <w:color w:val="000000" w:themeColor="text1"/>
        </w:rPr>
        <w:t>All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informed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requirements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also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apply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obtaining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parental/guardian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permission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appropriate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informed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elements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must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included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written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informed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consent.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information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requesting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Waiver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Permission,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please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separate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Guidance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Document.</w:t>
      </w:r>
    </w:p>
    <w:p w14:paraId="46FE99F9" w14:textId="77777777" w:rsidR="00126217" w:rsidRPr="00B23F92" w:rsidRDefault="00261846" w:rsidP="00883A4B">
      <w:pPr>
        <w:rPr>
          <w:color w:val="000000" w:themeColor="text1"/>
        </w:rPr>
      </w:pPr>
      <w:r w:rsidRPr="00B23F92">
        <w:rPr>
          <w:color w:val="000000" w:themeColor="text1"/>
        </w:rPr>
        <w:t>If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not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waived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requirement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permission,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permission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only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one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acceptable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404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405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unless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determines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otherwise.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not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waived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requirement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permission,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permission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both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must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obtained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406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Section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407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unless:</w:t>
      </w:r>
    </w:p>
    <w:p w14:paraId="3065B316" w14:textId="77777777" w:rsidR="00883A4B" w:rsidRPr="00B23F92" w:rsidRDefault="00261846" w:rsidP="00883A4B">
      <w:pPr>
        <w:pStyle w:val="Normal-bullit1"/>
        <w:rPr>
          <w:color w:val="000000" w:themeColor="text1"/>
        </w:rPr>
      </w:pPr>
      <w:r w:rsidRPr="00B23F92">
        <w:rPr>
          <w:color w:val="000000" w:themeColor="text1"/>
        </w:rPr>
        <w:t>One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deceased,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unknown,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incompeten</w:t>
      </w:r>
      <w:r w:rsidR="00883A4B" w:rsidRPr="00B23F92">
        <w:rPr>
          <w:color w:val="000000" w:themeColor="text1"/>
        </w:rPr>
        <w:t>t;</w:t>
      </w:r>
      <w:r w:rsidR="00126217" w:rsidRPr="00B23F92">
        <w:rPr>
          <w:color w:val="000000" w:themeColor="text1"/>
        </w:rPr>
        <w:t xml:space="preserve"> </w:t>
      </w:r>
      <w:r w:rsidR="00883A4B"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="00883A4B" w:rsidRPr="00B23F92">
        <w:rPr>
          <w:color w:val="000000" w:themeColor="text1"/>
        </w:rPr>
        <w:t>not</w:t>
      </w:r>
      <w:r w:rsidR="00126217" w:rsidRPr="00B23F92">
        <w:rPr>
          <w:color w:val="000000" w:themeColor="text1"/>
        </w:rPr>
        <w:t xml:space="preserve"> </w:t>
      </w:r>
      <w:r w:rsidR="00883A4B" w:rsidRPr="00B23F92">
        <w:rPr>
          <w:color w:val="000000" w:themeColor="text1"/>
        </w:rPr>
        <w:t>reasonably</w:t>
      </w:r>
      <w:r w:rsidR="00126217" w:rsidRPr="00B23F92">
        <w:rPr>
          <w:color w:val="000000" w:themeColor="text1"/>
        </w:rPr>
        <w:t xml:space="preserve"> </w:t>
      </w:r>
      <w:r w:rsidR="00883A4B" w:rsidRPr="00B23F92">
        <w:rPr>
          <w:color w:val="000000" w:themeColor="text1"/>
        </w:rPr>
        <w:t>available</w:t>
      </w:r>
    </w:p>
    <w:p w14:paraId="48940D5C" w14:textId="77777777" w:rsidR="00883A4B" w:rsidRPr="00B23F92" w:rsidRDefault="00883A4B" w:rsidP="00883A4B">
      <w:pPr>
        <w:pStyle w:val="Normal-bullit1"/>
        <w:numPr>
          <w:ilvl w:val="0"/>
          <w:numId w:val="0"/>
        </w:numPr>
        <w:ind w:left="360"/>
        <w:rPr>
          <w:color w:val="000000" w:themeColor="text1"/>
        </w:rPr>
      </w:pPr>
      <w:r w:rsidRPr="00B23F92">
        <w:rPr>
          <w:color w:val="000000" w:themeColor="text1"/>
        </w:rPr>
        <w:t>OR</w:t>
      </w:r>
    </w:p>
    <w:p w14:paraId="72D16F5D" w14:textId="77777777" w:rsidR="00261846" w:rsidRPr="00B23F92" w:rsidRDefault="00261846" w:rsidP="00883A4B">
      <w:pPr>
        <w:pStyle w:val="Normal-bullit1"/>
        <w:rPr>
          <w:color w:val="000000" w:themeColor="text1"/>
        </w:rPr>
      </w:pPr>
      <w:r w:rsidRPr="00B23F92">
        <w:rPr>
          <w:color w:val="000000" w:themeColor="text1"/>
        </w:rPr>
        <w:t>Only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one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legal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responsibility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883A4B" w:rsidRPr="00B23F92">
        <w:rPr>
          <w:color w:val="000000" w:themeColor="text1"/>
        </w:rPr>
        <w:t>care</w:t>
      </w:r>
      <w:r w:rsidR="00126217" w:rsidRPr="00B23F92">
        <w:rPr>
          <w:color w:val="000000" w:themeColor="text1"/>
        </w:rPr>
        <w:t xml:space="preserve"> </w:t>
      </w:r>
      <w:r w:rsidR="00883A4B"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="00883A4B" w:rsidRPr="00B23F92">
        <w:rPr>
          <w:color w:val="000000" w:themeColor="text1"/>
        </w:rPr>
        <w:t>custody</w:t>
      </w:r>
      <w:r w:rsidR="00126217" w:rsidRPr="00B23F92">
        <w:rPr>
          <w:color w:val="000000" w:themeColor="text1"/>
        </w:rPr>
        <w:t xml:space="preserve"> </w:t>
      </w:r>
      <w:r w:rsidR="00883A4B"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="00883A4B"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883A4B" w:rsidRPr="00B23F92">
        <w:rPr>
          <w:color w:val="000000" w:themeColor="text1"/>
        </w:rPr>
        <w:t>child</w:t>
      </w:r>
    </w:p>
    <w:p w14:paraId="67AA4708" w14:textId="77777777" w:rsidR="00261846" w:rsidRPr="00B23F92" w:rsidRDefault="00261846" w:rsidP="00883A4B">
      <w:pPr>
        <w:rPr>
          <w:color w:val="000000" w:themeColor="text1"/>
        </w:rPr>
      </w:pPr>
      <w:r w:rsidRPr="00B23F92">
        <w:rPr>
          <w:color w:val="000000" w:themeColor="text1"/>
        </w:rPr>
        <w:lastRenderedPageBreak/>
        <w:t>If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person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other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signs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Informed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Document,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investigator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should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obtain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documentary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evidence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person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legally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appointed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guardian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case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Wards,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agency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guardianship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documentation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not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available,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investigator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should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call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assistance.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foster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not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ordinarily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authorized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provide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guardian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permission.</w:t>
      </w:r>
    </w:p>
    <w:p w14:paraId="0A73EEAD" w14:textId="77777777" w:rsidR="00261846" w:rsidRPr="00B23F92" w:rsidRDefault="00261846" w:rsidP="00883A4B">
      <w:pPr>
        <w:rPr>
          <w:color w:val="000000" w:themeColor="text1"/>
        </w:rPr>
      </w:pP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State,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two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categories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them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study;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(1)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Emancipated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minors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(2)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mature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minors.</w:t>
      </w:r>
    </w:p>
    <w:p w14:paraId="1C98247D" w14:textId="77777777" w:rsidR="00883A4B" w:rsidRPr="00B23F92" w:rsidRDefault="00261846" w:rsidP="00883A4B">
      <w:pPr>
        <w:pStyle w:val="Heading3"/>
        <w:rPr>
          <w:color w:val="000000" w:themeColor="text1"/>
          <w:szCs w:val="18"/>
        </w:rPr>
      </w:pPr>
      <w:r w:rsidRPr="00B23F92">
        <w:rPr>
          <w:color w:val="000000" w:themeColor="text1"/>
        </w:rPr>
        <w:t>Emancipated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Minor</w:t>
      </w:r>
    </w:p>
    <w:p w14:paraId="13BC8762" w14:textId="77777777" w:rsidR="00126217" w:rsidRPr="00B23F92" w:rsidRDefault="00883A4B" w:rsidP="00883A4B">
      <w:pPr>
        <w:rPr>
          <w:color w:val="000000" w:themeColor="text1"/>
        </w:rPr>
      </w:pPr>
      <w:r w:rsidRPr="00B23F92">
        <w:rPr>
          <w:color w:val="000000" w:themeColor="text1"/>
        </w:rPr>
        <w:t>This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may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applied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by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minor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who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will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entitle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those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legally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emancipated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from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his/her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parent(s).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statutory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age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which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minor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can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petition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court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emancipation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at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least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sixteen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years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older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but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below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age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majority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(which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NYS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eighteen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years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age).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Minors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may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also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receive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Automatic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Emancipation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under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age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majority.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There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certain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actions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on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their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part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will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cause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them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emancipated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from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their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parents'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care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control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even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without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seeking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court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order.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These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actions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limited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following:</w:t>
      </w:r>
    </w:p>
    <w:p w14:paraId="42A28861" w14:textId="77777777" w:rsidR="00126217" w:rsidRPr="00B23F92" w:rsidRDefault="00261846" w:rsidP="00883A4B">
      <w:pPr>
        <w:pStyle w:val="Normal-bullit1"/>
        <w:rPr>
          <w:color w:val="000000" w:themeColor="text1"/>
        </w:rPr>
      </w:pPr>
      <w:r w:rsidRPr="00B23F92">
        <w:rPr>
          <w:color w:val="000000" w:themeColor="text1"/>
        </w:rPr>
        <w:t>Joining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armed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forces</w:t>
      </w:r>
    </w:p>
    <w:p w14:paraId="7056B98B" w14:textId="77777777" w:rsidR="00126217" w:rsidRPr="00B23F92" w:rsidRDefault="00261846" w:rsidP="00883A4B">
      <w:pPr>
        <w:pStyle w:val="Normal-bullit1"/>
        <w:rPr>
          <w:color w:val="000000" w:themeColor="text1"/>
        </w:rPr>
      </w:pPr>
      <w:r w:rsidRPr="00B23F92">
        <w:rPr>
          <w:color w:val="000000" w:themeColor="text1"/>
        </w:rPr>
        <w:t>Getting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married</w:t>
      </w:r>
    </w:p>
    <w:p w14:paraId="4A18EE33" w14:textId="77777777" w:rsidR="00126217" w:rsidRPr="00B23F92" w:rsidRDefault="00261846" w:rsidP="00883A4B">
      <w:pPr>
        <w:pStyle w:val="Normal-bullit1"/>
        <w:rPr>
          <w:color w:val="000000" w:themeColor="text1"/>
        </w:rPr>
      </w:pPr>
      <w:r w:rsidRPr="00B23F92">
        <w:rPr>
          <w:color w:val="000000" w:themeColor="text1"/>
        </w:rPr>
        <w:t>Reaching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actual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age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majority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(which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usually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eighteen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years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age)</w:t>
      </w:r>
    </w:p>
    <w:p w14:paraId="3976F92A" w14:textId="77777777" w:rsidR="00883A4B" w:rsidRPr="00B23F92" w:rsidRDefault="00261846" w:rsidP="00883A4B">
      <w:pPr>
        <w:pStyle w:val="Heading3"/>
        <w:rPr>
          <w:color w:val="000000" w:themeColor="text1"/>
        </w:rPr>
      </w:pPr>
      <w:r w:rsidRPr="00B23F92">
        <w:rPr>
          <w:color w:val="000000" w:themeColor="text1"/>
        </w:rPr>
        <w:t>Mature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Minors</w:t>
      </w:r>
    </w:p>
    <w:p w14:paraId="2441838C" w14:textId="77777777" w:rsidR="00126217" w:rsidRPr="00B23F92" w:rsidRDefault="00883A4B" w:rsidP="00883A4B">
      <w:pPr>
        <w:rPr>
          <w:color w:val="000000" w:themeColor="text1"/>
        </w:rPr>
      </w:pPr>
      <w:r w:rsidRPr="00B23F92">
        <w:rPr>
          <w:color w:val="000000" w:themeColor="text1"/>
        </w:rPr>
        <w:t>Mature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minors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those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under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18,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considered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older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minors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who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may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sometimes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given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decision-making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capacity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under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what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known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"Mature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Minor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Doctrine."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This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doctrine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recognizes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some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cases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minor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mature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enough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"appreciate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consequences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bookmarkStart w:id="0" w:name="back15"/>
      <w:bookmarkEnd w:id="0"/>
      <w:r w:rsidR="00261846" w:rsidRPr="00B23F92">
        <w:rPr>
          <w:color w:val="000000" w:themeColor="text1"/>
        </w:rPr>
        <w:t>[his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or]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her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actions"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accordingly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places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power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decide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hands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minor.</w:t>
      </w:r>
    </w:p>
    <w:p w14:paraId="006049AF" w14:textId="77777777" w:rsidR="00261846" w:rsidRPr="00B23F92" w:rsidRDefault="00261846" w:rsidP="00883A4B">
      <w:pPr>
        <w:rPr>
          <w:color w:val="000000" w:themeColor="text1"/>
        </w:rPr>
      </w:pP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determination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whether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adolescent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mature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minor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involves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factors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intelligence,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age,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maturity,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judgment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minor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revealed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circumstances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life.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Age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alone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must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not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determining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factor.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Maturity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judgment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evident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adolescent’s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ability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demonstrate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he/she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understands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risks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benefits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alternatives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medical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service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provided.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patient’s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attending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physician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shall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responsible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ensure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assessment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made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documented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patient’s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medical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record.</w:t>
      </w:r>
    </w:p>
    <w:p w14:paraId="08F77E6B" w14:textId="77777777" w:rsidR="00261846" w:rsidRPr="00B23F92" w:rsidRDefault="00261846" w:rsidP="00883A4B">
      <w:pPr>
        <w:rPr>
          <w:color w:val="000000" w:themeColor="text1"/>
        </w:rPr>
      </w:pP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further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information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regarding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above,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please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see: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NYU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Hospitals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Center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Administrative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Policy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Procedure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Minors-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Treatment,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effective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4/15/1985.</w:t>
      </w:r>
    </w:p>
    <w:p w14:paraId="19B9790F" w14:textId="77777777" w:rsidR="00261846" w:rsidRPr="00B23F92" w:rsidRDefault="00261846" w:rsidP="00883A4B">
      <w:pPr>
        <w:rPr>
          <w:color w:val="000000" w:themeColor="text1"/>
        </w:rPr>
      </w:pPr>
      <w:r w:rsidRPr="00B23F92">
        <w:rPr>
          <w:color w:val="000000" w:themeColor="text1"/>
        </w:rPr>
        <w:t>If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doubt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question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minor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themselves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not,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legal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guardian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should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sign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form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included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determine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depending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risk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involved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project,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signatures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both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required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prior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enrolling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study.</w:t>
      </w:r>
    </w:p>
    <w:p w14:paraId="7B66006A" w14:textId="77777777" w:rsidR="00126217" w:rsidRPr="00B23F92" w:rsidRDefault="00261846" w:rsidP="00883A4B">
      <w:pPr>
        <w:pStyle w:val="Heading3"/>
        <w:rPr>
          <w:color w:val="000000" w:themeColor="text1"/>
        </w:rPr>
      </w:pP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</w:t>
      </w:r>
    </w:p>
    <w:p w14:paraId="132ADA82" w14:textId="77777777" w:rsidR="00261846" w:rsidRPr="00B23F92" w:rsidRDefault="00261846" w:rsidP="00883A4B">
      <w:pPr>
        <w:rPr>
          <w:color w:val="000000" w:themeColor="text1"/>
        </w:rPr>
      </w:pP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must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find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adequate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provisions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made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soliciting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when,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judgment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capable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providing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determining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whether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capable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assenting,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shall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take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account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ages,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maturity,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psychological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involved.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child’s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required,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should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given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explanation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proposed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procedures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language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appropriate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child’s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age,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experience,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maturity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condition.</w:t>
      </w:r>
    </w:p>
    <w:p w14:paraId="6E0D6FFC" w14:textId="77777777" w:rsidR="00126217" w:rsidRPr="00B23F92" w:rsidRDefault="00261846" w:rsidP="00883A4B">
      <w:pPr>
        <w:rPr>
          <w:color w:val="000000" w:themeColor="text1"/>
        </w:rPr>
      </w:pP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waive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under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following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circumstances:</w:t>
      </w:r>
    </w:p>
    <w:p w14:paraId="148E10AF" w14:textId="77777777" w:rsidR="00883A4B" w:rsidRPr="00B23F92" w:rsidRDefault="00261846" w:rsidP="00883A4B">
      <w:pPr>
        <w:pStyle w:val="Normal-bullit1"/>
        <w:rPr>
          <w:color w:val="000000" w:themeColor="text1"/>
        </w:rPr>
      </w:pPr>
      <w:r w:rsidRPr="00B23F92">
        <w:rPr>
          <w:color w:val="000000" w:themeColor="text1"/>
        </w:rPr>
        <w:lastRenderedPageBreak/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capability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some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limited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cannot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reasonably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consulted</w:t>
      </w:r>
    </w:p>
    <w:p w14:paraId="2922C00C" w14:textId="77777777" w:rsidR="00883A4B" w:rsidRPr="00B23F92" w:rsidRDefault="00261846" w:rsidP="00883A4B">
      <w:pPr>
        <w:pStyle w:val="Normal-bullit1"/>
        <w:rPr>
          <w:color w:val="000000" w:themeColor="text1"/>
        </w:rPr>
      </w:pP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intervention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procedure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involved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holds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out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prospect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direct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benefit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important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health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well-being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available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only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context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</w:p>
    <w:p w14:paraId="352E6839" w14:textId="77777777" w:rsidR="00261846" w:rsidRPr="00B23F92" w:rsidRDefault="00261846" w:rsidP="00883A4B">
      <w:pPr>
        <w:pStyle w:val="Normal-bullit1"/>
        <w:rPr>
          <w:color w:val="000000" w:themeColor="text1"/>
        </w:rPr>
      </w:pPr>
      <w:r w:rsidRPr="00B23F92">
        <w:rPr>
          <w:color w:val="000000" w:themeColor="text1"/>
        </w:rPr>
        <w:t>Even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where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determines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capable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assenting,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waive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requirement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obtaining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under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circumstances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which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waived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set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forth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VI.B.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="00883A4B" w:rsidRPr="00B23F92">
        <w:rPr>
          <w:color w:val="000000" w:themeColor="text1"/>
        </w:rPr>
        <w:t>these</w:t>
      </w:r>
      <w:r w:rsidR="00126217" w:rsidRPr="00B23F92">
        <w:rPr>
          <w:color w:val="000000" w:themeColor="text1"/>
        </w:rPr>
        <w:t xml:space="preserve"> </w:t>
      </w:r>
      <w:r w:rsidR="00883A4B" w:rsidRPr="00B23F92">
        <w:rPr>
          <w:color w:val="000000" w:themeColor="text1"/>
        </w:rPr>
        <w:t>Policies</w:t>
      </w:r>
      <w:r w:rsidR="00126217" w:rsidRPr="00B23F92">
        <w:rPr>
          <w:color w:val="000000" w:themeColor="text1"/>
        </w:rPr>
        <w:t xml:space="preserve"> </w:t>
      </w:r>
      <w:r w:rsidR="00883A4B"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="00883A4B" w:rsidRPr="00B23F92">
        <w:rPr>
          <w:color w:val="000000" w:themeColor="text1"/>
        </w:rPr>
        <w:t>Procedures</w:t>
      </w:r>
    </w:p>
    <w:p w14:paraId="506120B5" w14:textId="77777777" w:rsidR="00126217" w:rsidRPr="00B23F92" w:rsidRDefault="00261846" w:rsidP="00126217">
      <w:pPr>
        <w:rPr>
          <w:color w:val="000000" w:themeColor="text1"/>
        </w:rPr>
      </w:pPr>
      <w:r w:rsidRPr="00B23F92">
        <w:rPr>
          <w:color w:val="000000" w:themeColor="text1"/>
        </w:rPr>
        <w:t>When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involved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protocol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generally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must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require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permission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parent(s)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determines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proposed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subject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pool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capable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providing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Factors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considers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determining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whether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all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some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capable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participation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study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include:</w:t>
      </w:r>
    </w:p>
    <w:p w14:paraId="39309CF7" w14:textId="35865FB6" w:rsidR="00126217" w:rsidRPr="00B23F92" w:rsidRDefault="00C76677" w:rsidP="00126217">
      <w:pPr>
        <w:pStyle w:val="Normal-bullit1"/>
        <w:rPr>
          <w:color w:val="000000" w:themeColor="text1"/>
        </w:rPr>
      </w:pPr>
      <w:r w:rsidRPr="00B23F92">
        <w:rPr>
          <w:color w:val="000000" w:themeColor="text1"/>
        </w:rPr>
        <w:t>T</w:t>
      </w:r>
      <w:r w:rsidR="00261846" w:rsidRPr="00B23F92">
        <w:rPr>
          <w:color w:val="000000" w:themeColor="text1"/>
        </w:rPr>
        <w:t>he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nature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research</w:t>
      </w:r>
    </w:p>
    <w:p w14:paraId="19028813" w14:textId="7F129DC8" w:rsidR="00126217" w:rsidRPr="00B23F92" w:rsidRDefault="00C76677" w:rsidP="00126217">
      <w:pPr>
        <w:pStyle w:val="Normal-bullit1"/>
        <w:rPr>
          <w:color w:val="000000" w:themeColor="text1"/>
        </w:rPr>
      </w:pPr>
      <w:r w:rsidRPr="00B23F92">
        <w:rPr>
          <w:color w:val="000000" w:themeColor="text1"/>
        </w:rPr>
        <w:t>T</w:t>
      </w:r>
      <w:r w:rsidR="00261846" w:rsidRPr="00B23F92">
        <w:rPr>
          <w:color w:val="000000" w:themeColor="text1"/>
        </w:rPr>
        <w:t>he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children’s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age,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status,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condition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(e.g.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whether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can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comprehend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appreciate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what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it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means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volunteer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benefit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others)</w:t>
      </w:r>
    </w:p>
    <w:p w14:paraId="112AFA4D" w14:textId="083C0B9A" w:rsidR="00126217" w:rsidRPr="00B23F92" w:rsidRDefault="00C76677" w:rsidP="00126217">
      <w:pPr>
        <w:pStyle w:val="Normal-bullit1"/>
        <w:rPr>
          <w:color w:val="000000" w:themeColor="text1"/>
        </w:rPr>
      </w:pPr>
      <w:r w:rsidRPr="00B23F92">
        <w:rPr>
          <w:color w:val="000000" w:themeColor="text1"/>
        </w:rPr>
        <w:t>T</w:t>
      </w:r>
      <w:r w:rsidR="00261846" w:rsidRPr="00B23F92">
        <w:rPr>
          <w:color w:val="000000" w:themeColor="text1"/>
        </w:rPr>
        <w:t>he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children’s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experience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knowledge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clinical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treatment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(such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being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patient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being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treated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illnesses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varying</w:t>
      </w:r>
      <w:r w:rsidR="00126217" w:rsidRPr="00B23F92">
        <w:rPr>
          <w:color w:val="000000" w:themeColor="text1"/>
        </w:rPr>
        <w:t xml:space="preserve"> degrees of severity)</w:t>
      </w:r>
    </w:p>
    <w:p w14:paraId="38D114B2" w14:textId="0295D5DC" w:rsidR="00261846" w:rsidRPr="00B23F92" w:rsidRDefault="00C76677" w:rsidP="00126217">
      <w:pPr>
        <w:pStyle w:val="Normal-bullit1"/>
        <w:rPr>
          <w:color w:val="000000" w:themeColor="text1"/>
        </w:rPr>
      </w:pPr>
      <w:r w:rsidRPr="00B23F92">
        <w:rPr>
          <w:color w:val="000000" w:themeColor="text1"/>
        </w:rPr>
        <w:t>T</w:t>
      </w:r>
      <w:r w:rsidR="00261846" w:rsidRPr="00B23F92">
        <w:rPr>
          <w:color w:val="000000" w:themeColor="text1"/>
        </w:rPr>
        <w:t>he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maturity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psychological</w:t>
      </w:r>
      <w:r w:rsidR="00126217" w:rsidRPr="00B23F92">
        <w:rPr>
          <w:color w:val="000000" w:themeColor="text1"/>
        </w:rPr>
        <w:t xml:space="preserve"> </w:t>
      </w:r>
      <w:r w:rsidR="00261846" w:rsidRPr="00B23F92">
        <w:rPr>
          <w:color w:val="000000" w:themeColor="text1"/>
        </w:rPr>
        <w:t>sta</w:t>
      </w:r>
      <w:r w:rsidR="00126217" w:rsidRPr="00B23F92">
        <w:rPr>
          <w:color w:val="000000" w:themeColor="text1"/>
        </w:rPr>
        <w:t>te of the proposed subjects</w:t>
      </w:r>
    </w:p>
    <w:p w14:paraId="4813B765" w14:textId="77777777" w:rsidR="00126217" w:rsidRPr="00B23F92" w:rsidRDefault="00261846" w:rsidP="00126217">
      <w:pPr>
        <w:rPr>
          <w:color w:val="000000" w:themeColor="text1"/>
        </w:rPr>
      </w:pPr>
      <w:r w:rsidRPr="00B23F92">
        <w:rPr>
          <w:color w:val="000000" w:themeColor="text1"/>
        </w:rPr>
        <w:t>When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determines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required,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also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determines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provisions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obtaining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</w:t>
      </w:r>
      <w:r w:rsidR="00126217" w:rsidRPr="00B23F92">
        <w:rPr>
          <w:color w:val="000000" w:themeColor="text1"/>
        </w:rPr>
        <w:t>ocumenting assent are adequate.</w:t>
      </w:r>
    </w:p>
    <w:p w14:paraId="376F8984" w14:textId="3D6339C5" w:rsidR="00367675" w:rsidRPr="00B23F92" w:rsidRDefault="00261846">
      <w:pPr>
        <w:rPr>
          <w:color w:val="000000" w:themeColor="text1"/>
        </w:rPr>
      </w:pP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should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given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explanation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proposed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procedures,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purpose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discomforts,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language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appropriate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child’s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age,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experience,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maturity,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condition.</w:t>
      </w:r>
      <w:r w:rsidR="00C76677" w:rsidRPr="00B23F92">
        <w:rPr>
          <w:color w:val="000000" w:themeColor="text1"/>
        </w:rPr>
        <w:t xml:space="preserve"> </w:t>
      </w:r>
      <w:r w:rsidR="00126217" w:rsidRPr="00B23F92">
        <w:rPr>
          <w:vanish/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should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asked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wish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participate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particularly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not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likely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benefit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children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subjects.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particular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subject’s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capacity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must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evaluated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individual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basis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knowledgeable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professional.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If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appropriate,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require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either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IRB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member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advocate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present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during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assent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in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order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to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verify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child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understands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and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may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require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that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a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parent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or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close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family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m</w:t>
      </w:r>
      <w:bookmarkStart w:id="1" w:name="_GoBack"/>
      <w:bookmarkEnd w:id="1"/>
      <w:r w:rsidRPr="00B23F92">
        <w:rPr>
          <w:color w:val="000000" w:themeColor="text1"/>
        </w:rPr>
        <w:t>ember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be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present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during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the</w:t>
      </w:r>
      <w:r w:rsidR="00126217" w:rsidRPr="00B23F92">
        <w:rPr>
          <w:color w:val="000000" w:themeColor="text1"/>
        </w:rPr>
        <w:t xml:space="preserve"> </w:t>
      </w:r>
      <w:r w:rsidRPr="00B23F92">
        <w:rPr>
          <w:color w:val="000000" w:themeColor="text1"/>
        </w:rPr>
        <w:t>research.</w:t>
      </w:r>
    </w:p>
    <w:sectPr w:rsidR="00367675" w:rsidRPr="00B23F92" w:rsidSect="005A355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A4D79" w14:textId="77777777" w:rsidR="007848A4" w:rsidRDefault="007848A4" w:rsidP="003445F0">
      <w:pPr>
        <w:spacing w:after="0" w:line="240" w:lineRule="auto"/>
      </w:pPr>
      <w:r>
        <w:separator/>
      </w:r>
    </w:p>
  </w:endnote>
  <w:endnote w:type="continuationSeparator" w:id="0">
    <w:p w14:paraId="35354D37" w14:textId="77777777" w:rsidR="007848A4" w:rsidRDefault="007848A4" w:rsidP="0034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NJEXED+TimesNewRomanPS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s Gothic MT"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Franklin Gothic Demi">
    <w:panose1 w:val="020B0703020102020204"/>
    <w:charset w:val="00"/>
    <w:family w:val="auto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AE4F" w14:textId="472BE07C" w:rsidR="003445F0" w:rsidRPr="00B23F92" w:rsidRDefault="00B23F92" w:rsidP="00B23F92">
    <w:pPr>
      <w:pBdr>
        <w:top w:val="single" w:sz="4" w:space="1" w:color="4F6228" w:themeColor="accent3" w:themeShade="80"/>
      </w:pBdr>
      <w:tabs>
        <w:tab w:val="right" w:pos="10800"/>
      </w:tabs>
      <w:spacing w:before="240" w:line="240" w:lineRule="auto"/>
      <w:jc w:val="center"/>
      <w:rPr>
        <w:rFonts w:cs="Arial"/>
        <w:b/>
        <w:color w:val="7030A0"/>
        <w:sz w:val="16"/>
        <w:szCs w:val="16"/>
      </w:rPr>
    </w:pPr>
    <w:r w:rsidRPr="00626017">
      <w:rPr>
        <w:rFonts w:cs="Arial"/>
        <w:b/>
        <w:color w:val="7030A0"/>
        <w:sz w:val="16"/>
        <w:szCs w:val="16"/>
      </w:rPr>
      <w:t xml:space="preserve">2019.01.11 | irb-info@nyulangone.org | 212.263.4110 | page </w:t>
    </w:r>
    <w:r w:rsidRPr="00626017">
      <w:rPr>
        <w:rFonts w:cs="Arial"/>
        <w:b/>
        <w:color w:val="7030A0"/>
        <w:sz w:val="16"/>
        <w:szCs w:val="16"/>
      </w:rPr>
      <w:fldChar w:fldCharType="begin"/>
    </w:r>
    <w:r w:rsidRPr="00626017">
      <w:rPr>
        <w:rFonts w:cs="Arial"/>
        <w:b/>
        <w:color w:val="7030A0"/>
        <w:sz w:val="16"/>
        <w:szCs w:val="16"/>
      </w:rPr>
      <w:instrText xml:space="preserve"> PAGE </w:instrText>
    </w:r>
    <w:r w:rsidRPr="00626017">
      <w:rPr>
        <w:rFonts w:cs="Arial"/>
        <w:b/>
        <w:color w:val="7030A0"/>
        <w:sz w:val="16"/>
        <w:szCs w:val="16"/>
      </w:rPr>
      <w:fldChar w:fldCharType="separate"/>
    </w:r>
    <w:r>
      <w:rPr>
        <w:rFonts w:cs="Arial"/>
        <w:b/>
        <w:noProof/>
        <w:color w:val="7030A0"/>
        <w:sz w:val="16"/>
        <w:szCs w:val="16"/>
      </w:rPr>
      <w:t>6</w:t>
    </w:r>
    <w:r w:rsidRPr="00626017">
      <w:rPr>
        <w:rFonts w:cs="Arial"/>
        <w:b/>
        <w:color w:val="7030A0"/>
        <w:sz w:val="16"/>
        <w:szCs w:val="16"/>
      </w:rPr>
      <w:fldChar w:fldCharType="end"/>
    </w:r>
    <w:r w:rsidRPr="00626017">
      <w:rPr>
        <w:rFonts w:cs="Arial"/>
        <w:b/>
        <w:color w:val="7030A0"/>
        <w:sz w:val="16"/>
        <w:szCs w:val="16"/>
      </w:rPr>
      <w:t xml:space="preserve"> of </w:t>
    </w:r>
    <w:r w:rsidRPr="00626017">
      <w:rPr>
        <w:rFonts w:cs="Arial"/>
        <w:b/>
        <w:color w:val="7030A0"/>
        <w:sz w:val="16"/>
        <w:szCs w:val="16"/>
      </w:rPr>
      <w:fldChar w:fldCharType="begin"/>
    </w:r>
    <w:r w:rsidRPr="00626017">
      <w:rPr>
        <w:rFonts w:cs="Arial"/>
        <w:b/>
        <w:color w:val="7030A0"/>
        <w:sz w:val="16"/>
        <w:szCs w:val="16"/>
      </w:rPr>
      <w:instrText xml:space="preserve"> NUMPAGES </w:instrText>
    </w:r>
    <w:r w:rsidRPr="00626017">
      <w:rPr>
        <w:rFonts w:cs="Arial"/>
        <w:b/>
        <w:color w:val="7030A0"/>
        <w:sz w:val="16"/>
        <w:szCs w:val="16"/>
      </w:rPr>
      <w:fldChar w:fldCharType="separate"/>
    </w:r>
    <w:r>
      <w:rPr>
        <w:rFonts w:cs="Arial"/>
        <w:b/>
        <w:noProof/>
        <w:color w:val="7030A0"/>
        <w:sz w:val="16"/>
        <w:szCs w:val="16"/>
      </w:rPr>
      <w:t>6</w:t>
    </w:r>
    <w:r w:rsidRPr="00626017">
      <w:rPr>
        <w:rFonts w:cs="Arial"/>
        <w:b/>
        <w:color w:val="7030A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A3249" w14:textId="77777777" w:rsidR="007848A4" w:rsidRDefault="007848A4" w:rsidP="003445F0">
      <w:pPr>
        <w:spacing w:after="0" w:line="240" w:lineRule="auto"/>
      </w:pPr>
      <w:r>
        <w:separator/>
      </w:r>
    </w:p>
  </w:footnote>
  <w:footnote w:type="continuationSeparator" w:id="0">
    <w:p w14:paraId="17808582" w14:textId="77777777" w:rsidR="007848A4" w:rsidRDefault="007848A4" w:rsidP="0034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53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V w:val="single" w:sz="4" w:space="0" w:color="FFFFFF" w:themeColor="background1"/>
      </w:tblBorders>
      <w:tblLayout w:type="fixed"/>
      <w:tblLook w:val="01E0" w:firstRow="1" w:lastRow="1" w:firstColumn="1" w:lastColumn="1" w:noHBand="0" w:noVBand="0"/>
    </w:tblPr>
    <w:tblGrid>
      <w:gridCol w:w="4338"/>
      <w:gridCol w:w="6615"/>
    </w:tblGrid>
    <w:tr w:rsidR="00B23F92" w:rsidRPr="003612D0" w14:paraId="1CFB5826" w14:textId="77777777" w:rsidTr="00784490">
      <w:trPr>
        <w:trHeight w:val="1047"/>
      </w:trPr>
      <w:tc>
        <w:tcPr>
          <w:tcW w:w="4338" w:type="dxa"/>
        </w:tcPr>
        <w:p w14:paraId="7309B88C" w14:textId="77777777" w:rsidR="00B23F92" w:rsidRPr="00EA1FBF" w:rsidRDefault="00B23F92" w:rsidP="0078449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17167FE" wp14:editId="26AF7256">
                <wp:extent cx="1514348" cy="688340"/>
                <wp:effectExtent l="0" t="0" r="10160" b="0"/>
                <wp:docPr id="13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5132" cy="693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5" w:type="dxa"/>
        </w:tcPr>
        <w:p w14:paraId="56F9D1C9" w14:textId="77777777" w:rsidR="00B23F92" w:rsidRPr="000A68DA" w:rsidRDefault="00B23F92" w:rsidP="00784490">
          <w:pPr>
            <w:tabs>
              <w:tab w:val="left" w:pos="2574"/>
            </w:tabs>
            <w:spacing w:after="0" w:line="240" w:lineRule="auto"/>
            <w:ind w:right="-86"/>
            <w:rPr>
              <w:sz w:val="10"/>
            </w:rPr>
          </w:pPr>
          <w:r w:rsidRPr="000A68DA">
            <w:rPr>
              <w:sz w:val="10"/>
            </w:rPr>
            <w:tab/>
          </w:r>
        </w:p>
        <w:p w14:paraId="48F200D5" w14:textId="77777777" w:rsidR="00B23F92" w:rsidRPr="003C3D09" w:rsidRDefault="00B23F92" w:rsidP="00784490">
          <w:pPr>
            <w:spacing w:after="0" w:line="240" w:lineRule="auto"/>
            <w:jc w:val="right"/>
            <w:rPr>
              <w:rFonts w:ascii="Franklin Gothic Demi" w:hAnsi="Franklin Gothic Demi"/>
              <w:color w:val="5A0E8E"/>
              <w:sz w:val="26"/>
              <w:szCs w:val="26"/>
            </w:rPr>
          </w:pPr>
          <w:r w:rsidRPr="003C3D09">
            <w:rPr>
              <w:rFonts w:ascii="Franklin Gothic Demi" w:hAnsi="Franklin Gothic Demi"/>
              <w:color w:val="5A0E8E"/>
              <w:sz w:val="26"/>
              <w:szCs w:val="26"/>
            </w:rPr>
            <w:t>Institutional Review Board</w:t>
          </w:r>
        </w:p>
        <w:p w14:paraId="0716CC0A" w14:textId="77777777" w:rsidR="00B23F92" w:rsidRPr="00C5492F" w:rsidRDefault="00B23F92" w:rsidP="00784490">
          <w:pPr>
            <w:spacing w:after="0" w:line="240" w:lineRule="auto"/>
            <w:jc w:val="right"/>
            <w:rPr>
              <w:rFonts w:ascii="Franklin Gothic Medium" w:hAnsi="Franklin Gothic Medium"/>
              <w:sz w:val="18"/>
              <w:szCs w:val="18"/>
            </w:rPr>
          </w:pPr>
          <w:r>
            <w:rPr>
              <w:rFonts w:ascii="Franklin Gothic Medium" w:hAnsi="Franklin Gothic Medium"/>
              <w:sz w:val="18"/>
              <w:szCs w:val="18"/>
            </w:rPr>
            <w:t>Human Research Regulatory Affairs</w:t>
          </w:r>
        </w:p>
        <w:p w14:paraId="109E5B40" w14:textId="77777777" w:rsidR="00B23F92" w:rsidRPr="00C5492F" w:rsidRDefault="00B23F92" w:rsidP="00784490">
          <w:pPr>
            <w:spacing w:after="0" w:line="240" w:lineRule="auto"/>
            <w:jc w:val="right"/>
            <w:rPr>
              <w:rFonts w:ascii="Franklin Gothic Medium" w:hAnsi="Franklin Gothic Medium"/>
              <w:sz w:val="18"/>
              <w:szCs w:val="18"/>
            </w:rPr>
          </w:pPr>
          <w:r>
            <w:rPr>
              <w:rFonts w:ascii="Franklin Gothic Medium" w:hAnsi="Franklin Gothic Medium"/>
              <w:sz w:val="18"/>
              <w:szCs w:val="18"/>
            </w:rPr>
            <w:t>1 Park Avenue | 6</w:t>
          </w:r>
          <w:r w:rsidRPr="009B7670">
            <w:rPr>
              <w:rFonts w:ascii="Franklin Gothic Medium" w:hAnsi="Franklin Gothic Medium"/>
              <w:sz w:val="18"/>
              <w:szCs w:val="18"/>
              <w:vertAlign w:val="superscript"/>
            </w:rPr>
            <w:t>th</w:t>
          </w:r>
          <w:r>
            <w:rPr>
              <w:rFonts w:ascii="Franklin Gothic Medium" w:hAnsi="Franklin Gothic Medium"/>
              <w:sz w:val="18"/>
              <w:szCs w:val="18"/>
            </w:rPr>
            <w:t xml:space="preserve"> Floor </w:t>
          </w:r>
          <w:r w:rsidRPr="00C5492F">
            <w:rPr>
              <w:rFonts w:ascii="Franklin Gothic Medium" w:hAnsi="Franklin Gothic Medium"/>
              <w:sz w:val="18"/>
              <w:szCs w:val="18"/>
            </w:rPr>
            <w:t>|</w:t>
          </w:r>
          <w:r>
            <w:rPr>
              <w:rFonts w:ascii="Franklin Gothic Medium" w:hAnsi="Franklin Gothic Medium"/>
              <w:sz w:val="18"/>
              <w:szCs w:val="18"/>
            </w:rPr>
            <w:t xml:space="preserve"> New York</w:t>
          </w:r>
          <w:r w:rsidRPr="00C5492F">
            <w:rPr>
              <w:rFonts w:ascii="Franklin Gothic Medium" w:hAnsi="Franklin Gothic Medium"/>
              <w:sz w:val="18"/>
              <w:szCs w:val="18"/>
            </w:rPr>
            <w:t>, NY 10016</w:t>
          </w:r>
        </w:p>
        <w:p w14:paraId="261F61E5" w14:textId="77777777" w:rsidR="00B23F92" w:rsidRPr="003612D0" w:rsidRDefault="00B23F92" w:rsidP="00784490">
          <w:pPr>
            <w:spacing w:after="0" w:line="240" w:lineRule="auto"/>
            <w:jc w:val="right"/>
          </w:pPr>
          <w:r w:rsidRPr="00C5492F">
            <w:rPr>
              <w:rFonts w:ascii="Franklin Gothic Medium" w:hAnsi="Franklin Gothic Medium"/>
              <w:sz w:val="18"/>
              <w:szCs w:val="18"/>
            </w:rPr>
            <w:t>http://irb.med.nyu.edu</w:t>
          </w:r>
        </w:p>
      </w:tc>
    </w:tr>
  </w:tbl>
  <w:p w14:paraId="240CFB8D" w14:textId="644CD810" w:rsidR="003445F0" w:rsidRPr="00B23F92" w:rsidRDefault="003445F0" w:rsidP="00B23F92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A2C1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4F1D42"/>
    <w:multiLevelType w:val="multilevel"/>
    <w:tmpl w:val="28D6E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32E53"/>
    <w:multiLevelType w:val="hybridMultilevel"/>
    <w:tmpl w:val="62027F84"/>
    <w:lvl w:ilvl="0" w:tplc="A3CA29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8211D2"/>
    <w:multiLevelType w:val="hybridMultilevel"/>
    <w:tmpl w:val="80DC0D4C"/>
    <w:lvl w:ilvl="0" w:tplc="C1988344">
      <w:start w:val="1"/>
      <w:numFmt w:val="decimal"/>
      <w:pStyle w:val="normal-number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9B0480"/>
    <w:multiLevelType w:val="hybridMultilevel"/>
    <w:tmpl w:val="687A8CB8"/>
    <w:lvl w:ilvl="0" w:tplc="A266D4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4184E"/>
    <w:multiLevelType w:val="hybridMultilevel"/>
    <w:tmpl w:val="FF3ADF42"/>
    <w:lvl w:ilvl="0" w:tplc="6A72EEAE">
      <w:start w:val="1"/>
      <w:numFmt w:val="bullet"/>
      <w:pStyle w:val="Normal-bulli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545AC6"/>
    <w:multiLevelType w:val="hybridMultilevel"/>
    <w:tmpl w:val="9F447830"/>
    <w:lvl w:ilvl="0" w:tplc="4B2A1DDC">
      <w:start w:val="1"/>
      <w:numFmt w:val="decimal"/>
      <w:pStyle w:val="normal-number2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BA628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EE325A"/>
    <w:multiLevelType w:val="multilevel"/>
    <w:tmpl w:val="CF9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7F9244E"/>
    <w:multiLevelType w:val="hybridMultilevel"/>
    <w:tmpl w:val="81A073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B72EE"/>
    <w:multiLevelType w:val="hybridMultilevel"/>
    <w:tmpl w:val="2ACC537C"/>
    <w:lvl w:ilvl="0" w:tplc="B3FA17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normal-bulli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normal-bulli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pStyle w:val="normal-bullit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866F00"/>
    <w:multiLevelType w:val="multilevel"/>
    <w:tmpl w:val="4B64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9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46"/>
    <w:rsid w:val="000111ED"/>
    <w:rsid w:val="00015DAA"/>
    <w:rsid w:val="000A7387"/>
    <w:rsid w:val="00126217"/>
    <w:rsid w:val="00245FEE"/>
    <w:rsid w:val="00261846"/>
    <w:rsid w:val="002A1886"/>
    <w:rsid w:val="002F4110"/>
    <w:rsid w:val="003445F0"/>
    <w:rsid w:val="00367675"/>
    <w:rsid w:val="00567B4A"/>
    <w:rsid w:val="005A3550"/>
    <w:rsid w:val="005D3D39"/>
    <w:rsid w:val="007359F7"/>
    <w:rsid w:val="007848A4"/>
    <w:rsid w:val="008646C7"/>
    <w:rsid w:val="00883A4B"/>
    <w:rsid w:val="008A3982"/>
    <w:rsid w:val="00A25B92"/>
    <w:rsid w:val="00A30AA6"/>
    <w:rsid w:val="00A3296A"/>
    <w:rsid w:val="00A46B18"/>
    <w:rsid w:val="00A506CA"/>
    <w:rsid w:val="00B23F92"/>
    <w:rsid w:val="00B57C2B"/>
    <w:rsid w:val="00B57C89"/>
    <w:rsid w:val="00BC2A53"/>
    <w:rsid w:val="00BF74A0"/>
    <w:rsid w:val="00C76677"/>
    <w:rsid w:val="00D63CCF"/>
    <w:rsid w:val="00E11EA5"/>
    <w:rsid w:val="00E30207"/>
    <w:rsid w:val="00EE1F61"/>
    <w:rsid w:val="00EF2BC8"/>
    <w:rsid w:val="00F177A3"/>
    <w:rsid w:val="00F21F2D"/>
    <w:rsid w:val="00F66F26"/>
    <w:rsid w:val="00FD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F591E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3550"/>
    <w:pPr>
      <w:spacing w:after="120" w:line="260" w:lineRule="exact"/>
    </w:pPr>
    <w:rPr>
      <w:rFonts w:ascii="Arial" w:eastAsia="Times New Roman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A3550"/>
    <w:pPr>
      <w:keepNext/>
      <w:tabs>
        <w:tab w:val="left" w:pos="720"/>
      </w:tabs>
      <w:spacing w:before="480" w:after="0" w:line="240" w:lineRule="auto"/>
      <w:outlineLvl w:val="0"/>
    </w:pPr>
    <w:rPr>
      <w:rFonts w:cs="Arial"/>
      <w:b/>
      <w:bCs/>
      <w:color w:val="4F6228"/>
      <w:kern w:val="32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5A3550"/>
    <w:pPr>
      <w:spacing w:before="360"/>
      <w:outlineLvl w:val="1"/>
    </w:pPr>
    <w:rPr>
      <w:bCs w:val="0"/>
      <w:iCs/>
      <w:color w:val="76923C"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5A3550"/>
    <w:pPr>
      <w:spacing w:before="240"/>
      <w:outlineLvl w:val="2"/>
    </w:pPr>
    <w:rPr>
      <w:bCs/>
      <w:i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5A3550"/>
    <w:pPr>
      <w:keepNext/>
      <w:spacing w:before="80" w:after="0" w:line="240" w:lineRule="auto"/>
      <w:outlineLvl w:val="3"/>
    </w:pPr>
    <w:rPr>
      <w:b/>
      <w:bCs/>
      <w:spacing w:val="30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5A3550"/>
    <w:pPr>
      <w:keepNext/>
      <w:framePr w:hSpace="180" w:wrap="around" w:vAnchor="text" w:hAnchor="text" w:y="1"/>
      <w:suppressOverlap/>
      <w:jc w:val="center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A3550"/>
    <w:pPr>
      <w:keepNext/>
      <w:framePr w:hSpace="180" w:wrap="around" w:vAnchor="text" w:hAnchor="text" w:y="1"/>
      <w:ind w:left="720"/>
      <w:suppressOverlap/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link w:val="Heading7Char"/>
    <w:uiPriority w:val="9"/>
    <w:qFormat/>
    <w:rsid w:val="005A3550"/>
    <w:pPr>
      <w:keepNext/>
      <w:tabs>
        <w:tab w:val="left" w:pos="-1440"/>
        <w:tab w:val="left" w:pos="-720"/>
        <w:tab w:val="left" w:pos="0"/>
        <w:tab w:val="left" w:pos="428"/>
        <w:tab w:val="left" w:pos="1428"/>
        <w:tab w:val="left" w:pos="2760"/>
        <w:tab w:val="left" w:pos="6480"/>
        <w:tab w:val="left" w:pos="7200"/>
        <w:tab w:val="left" w:pos="7920"/>
        <w:tab w:val="left" w:pos="8640"/>
        <w:tab w:val="left" w:pos="9360"/>
      </w:tabs>
      <w:ind w:left="428" w:right="428" w:hanging="428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uiPriority w:val="9"/>
    <w:qFormat/>
    <w:rsid w:val="005A3550"/>
    <w:pPr>
      <w:keepNext/>
      <w:outlineLvl w:val="7"/>
    </w:pPr>
    <w:rPr>
      <w:rFonts w:ascii="Times New Roman" w:hAnsi="Times New Roman"/>
      <w:b/>
      <w:bCs/>
    </w:rPr>
  </w:style>
  <w:style w:type="paragraph" w:styleId="Heading9">
    <w:name w:val="heading 9"/>
    <w:basedOn w:val="Normal"/>
    <w:next w:val="Normal"/>
    <w:link w:val="Heading9Char"/>
    <w:uiPriority w:val="9"/>
    <w:qFormat/>
    <w:rsid w:val="005A3550"/>
    <w:pPr>
      <w:keepNext/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outlineLvl w:val="8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261846"/>
    <w:rPr>
      <w:rFonts w:ascii="Arial" w:eastAsia="Times New Roman" w:hAnsi="Arial"/>
      <w:b/>
      <w:bCs/>
      <w:spacing w:val="30"/>
      <w:sz w:val="22"/>
      <w:szCs w:val="28"/>
    </w:rPr>
  </w:style>
  <w:style w:type="paragraph" w:styleId="NormalWeb">
    <w:name w:val="Normal (Web)"/>
    <w:basedOn w:val="Normal"/>
    <w:uiPriority w:val="99"/>
    <w:semiHidden/>
    <w:unhideWhenUsed/>
    <w:rsid w:val="00261846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</w:rPr>
  </w:style>
  <w:style w:type="character" w:customStyle="1" w:styleId="head11">
    <w:name w:val="head11"/>
    <w:rsid w:val="00261846"/>
    <w:rPr>
      <w:rFonts w:ascii="Verdana" w:hAnsi="Verdana" w:hint="default"/>
      <w:b/>
      <w:bCs/>
      <w:strike w:val="0"/>
      <w:dstrike w:val="0"/>
      <w:color w:val="000066"/>
      <w:sz w:val="24"/>
      <w:szCs w:val="24"/>
      <w:u w:val="none"/>
      <w:effect w:val="none"/>
    </w:rPr>
  </w:style>
  <w:style w:type="character" w:styleId="Hyperlink">
    <w:name w:val="Hyperlink"/>
    <w:uiPriority w:val="99"/>
    <w:unhideWhenUsed/>
    <w:rsid w:val="005A3550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261846"/>
    <w:rPr>
      <w:b/>
      <w:bCs/>
    </w:rPr>
  </w:style>
  <w:style w:type="character" w:styleId="Emphasis">
    <w:name w:val="Emphasis"/>
    <w:uiPriority w:val="20"/>
    <w:qFormat/>
    <w:rsid w:val="00261846"/>
    <w:rPr>
      <w:i/>
      <w:iCs/>
    </w:rPr>
  </w:style>
  <w:style w:type="paragraph" w:customStyle="1" w:styleId="Default">
    <w:name w:val="Default"/>
    <w:rsid w:val="005A3550"/>
    <w:pPr>
      <w:widowControl w:val="0"/>
      <w:autoSpaceDE w:val="0"/>
      <w:autoSpaceDN w:val="0"/>
      <w:adjustRightInd w:val="0"/>
    </w:pPr>
    <w:rPr>
      <w:rFonts w:ascii="NJEXED+TimesNewRomanPSMT" w:eastAsia="Times New Roman" w:hAnsi="NJEXED+TimesNewRomanPSMT" w:cs="NJEXED+TimesNewRomanPSM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5A3550"/>
    <w:pPr>
      <w:pBdr>
        <w:bottom w:val="single" w:sz="4" w:space="0" w:color="4F6228"/>
      </w:pBdr>
      <w:jc w:val="center"/>
    </w:pPr>
    <w:rPr>
      <w:rFonts w:cs="Arial"/>
      <w:b/>
      <w:color w:val="76923C"/>
      <w:sz w:val="16"/>
      <w:szCs w:val="16"/>
    </w:rPr>
  </w:style>
  <w:style w:type="character" w:customStyle="1" w:styleId="HeaderChar">
    <w:name w:val="Header Char"/>
    <w:link w:val="Header"/>
    <w:uiPriority w:val="99"/>
    <w:rsid w:val="005A3550"/>
    <w:rPr>
      <w:rFonts w:ascii="Arial" w:eastAsia="Times New Roman" w:hAnsi="Arial" w:cs="Arial"/>
      <w:b/>
      <w:color w:val="76923C"/>
      <w:sz w:val="16"/>
      <w:szCs w:val="16"/>
    </w:rPr>
  </w:style>
  <w:style w:type="paragraph" w:styleId="Footer">
    <w:name w:val="footer"/>
    <w:basedOn w:val="Header"/>
    <w:link w:val="FooterChar"/>
    <w:uiPriority w:val="99"/>
    <w:rsid w:val="005A3550"/>
    <w:pPr>
      <w:pBdr>
        <w:top w:val="single" w:sz="4" w:space="1" w:color="4F6228"/>
        <w:bottom w:val="none" w:sz="0" w:space="0" w:color="auto"/>
      </w:pBdr>
      <w:tabs>
        <w:tab w:val="right" w:pos="10800"/>
      </w:tabs>
      <w:spacing w:before="240" w:line="240" w:lineRule="auto"/>
    </w:pPr>
  </w:style>
  <w:style w:type="character" w:customStyle="1" w:styleId="FooterChar">
    <w:name w:val="Footer Char"/>
    <w:link w:val="Footer"/>
    <w:uiPriority w:val="99"/>
    <w:rsid w:val="005A3550"/>
    <w:rPr>
      <w:rFonts w:ascii="Arial" w:eastAsia="Times New Roman" w:hAnsi="Arial" w:cs="Arial"/>
      <w:b/>
      <w:color w:val="76923C"/>
      <w:sz w:val="16"/>
      <w:szCs w:val="16"/>
    </w:rPr>
  </w:style>
  <w:style w:type="character" w:customStyle="1" w:styleId="Heading1Char">
    <w:name w:val="Heading 1 Char"/>
    <w:link w:val="Heading1"/>
    <w:uiPriority w:val="9"/>
    <w:rsid w:val="005A3550"/>
    <w:rPr>
      <w:rFonts w:ascii="Arial" w:eastAsia="Times New Roman" w:hAnsi="Arial" w:cs="Arial"/>
      <w:b/>
      <w:bCs/>
      <w:color w:val="4F6228"/>
      <w:kern w:val="32"/>
      <w:sz w:val="40"/>
      <w:szCs w:val="32"/>
    </w:rPr>
  </w:style>
  <w:style w:type="character" w:customStyle="1" w:styleId="Heading2Char">
    <w:name w:val="Heading 2 Char"/>
    <w:link w:val="Heading2"/>
    <w:uiPriority w:val="9"/>
    <w:rsid w:val="005A3550"/>
    <w:rPr>
      <w:rFonts w:ascii="Arial" w:eastAsia="Times New Roman" w:hAnsi="Arial" w:cs="Arial"/>
      <w:b/>
      <w:iCs/>
      <w:color w:val="76923C"/>
      <w:kern w:val="32"/>
      <w:sz w:val="32"/>
      <w:szCs w:val="28"/>
    </w:rPr>
  </w:style>
  <w:style w:type="character" w:customStyle="1" w:styleId="Heading3Char">
    <w:name w:val="Heading 3 Char"/>
    <w:link w:val="Heading3"/>
    <w:uiPriority w:val="9"/>
    <w:rsid w:val="005A3550"/>
    <w:rPr>
      <w:rFonts w:ascii="Arial" w:eastAsia="Times New Roman" w:hAnsi="Arial" w:cs="Arial"/>
      <w:b/>
      <w:bCs/>
      <w:i/>
      <w:iCs/>
      <w:color w:val="76923C"/>
      <w:kern w:val="32"/>
      <w:sz w:val="28"/>
      <w:szCs w:val="26"/>
    </w:rPr>
  </w:style>
  <w:style w:type="character" w:customStyle="1" w:styleId="Heading5Char">
    <w:name w:val="Heading 5 Char"/>
    <w:link w:val="Heading5"/>
    <w:uiPriority w:val="9"/>
    <w:rsid w:val="005A3550"/>
    <w:rPr>
      <w:rFonts w:ascii="Arial" w:eastAsia="Times New Roman" w:hAnsi="Arial"/>
      <w:b/>
      <w:bCs/>
      <w:sz w:val="18"/>
      <w:szCs w:val="24"/>
    </w:rPr>
  </w:style>
  <w:style w:type="character" w:customStyle="1" w:styleId="Heading6Char">
    <w:name w:val="Heading 6 Char"/>
    <w:link w:val="Heading6"/>
    <w:uiPriority w:val="9"/>
    <w:rsid w:val="005A3550"/>
    <w:rPr>
      <w:rFonts w:ascii="Arial" w:eastAsia="Times New Roman" w:hAnsi="Arial"/>
      <w:b/>
      <w:bCs/>
      <w:sz w:val="18"/>
      <w:szCs w:val="24"/>
    </w:rPr>
  </w:style>
  <w:style w:type="character" w:customStyle="1" w:styleId="Heading7Char">
    <w:name w:val="Heading 7 Char"/>
    <w:link w:val="Heading7"/>
    <w:uiPriority w:val="9"/>
    <w:rsid w:val="005A3550"/>
    <w:rPr>
      <w:rFonts w:ascii="Times New Roman" w:eastAsia="Times New Roman" w:hAnsi="Times New Roman"/>
      <w:sz w:val="22"/>
      <w:szCs w:val="24"/>
    </w:rPr>
  </w:style>
  <w:style w:type="character" w:customStyle="1" w:styleId="Heading8Char">
    <w:name w:val="Heading 8 Char"/>
    <w:link w:val="Heading8"/>
    <w:uiPriority w:val="9"/>
    <w:rsid w:val="005A3550"/>
    <w:rPr>
      <w:rFonts w:ascii="Times New Roman" w:eastAsia="Times New Roman" w:hAnsi="Times New Roman"/>
      <w:b/>
      <w:bCs/>
      <w:sz w:val="22"/>
      <w:szCs w:val="24"/>
    </w:rPr>
  </w:style>
  <w:style w:type="character" w:customStyle="1" w:styleId="Heading9Char">
    <w:name w:val="Heading 9 Char"/>
    <w:link w:val="Heading9"/>
    <w:uiPriority w:val="9"/>
    <w:rsid w:val="005A3550"/>
    <w:rPr>
      <w:rFonts w:ascii="Times New Roman" w:eastAsia="Times New Roman" w:hAnsi="Times New Roman"/>
      <w:i/>
      <w:iCs/>
      <w:sz w:val="22"/>
      <w:szCs w:val="24"/>
    </w:rPr>
  </w:style>
  <w:style w:type="paragraph" w:customStyle="1" w:styleId="Normal-bullit1">
    <w:name w:val="Normal - bullit 1"/>
    <w:basedOn w:val="Normal"/>
    <w:rsid w:val="005A3550"/>
    <w:pPr>
      <w:numPr>
        <w:numId w:val="4"/>
      </w:numPr>
      <w:spacing w:line="240" w:lineRule="auto"/>
      <w:contextualSpacing/>
    </w:pPr>
    <w:rPr>
      <w:sz w:val="20"/>
      <w:szCs w:val="22"/>
    </w:rPr>
  </w:style>
  <w:style w:type="paragraph" w:customStyle="1" w:styleId="Normal-bullit1NOTE">
    <w:name w:val="Normal - bullit 1 NOTE"/>
    <w:basedOn w:val="Normal-bullit1"/>
    <w:rsid w:val="005A3550"/>
    <w:pPr>
      <w:numPr>
        <w:numId w:val="0"/>
      </w:numPr>
      <w:ind w:left="720"/>
    </w:pPr>
  </w:style>
  <w:style w:type="paragraph" w:customStyle="1" w:styleId="normal-bullit2">
    <w:name w:val="normal - bullit 2"/>
    <w:basedOn w:val="Normal"/>
    <w:rsid w:val="005A3550"/>
    <w:pPr>
      <w:numPr>
        <w:ilvl w:val="1"/>
        <w:numId w:val="7"/>
      </w:numPr>
      <w:spacing w:line="240" w:lineRule="auto"/>
      <w:contextualSpacing/>
    </w:pPr>
    <w:rPr>
      <w:rFonts w:cs="Arial"/>
      <w:sz w:val="20"/>
    </w:rPr>
  </w:style>
  <w:style w:type="paragraph" w:customStyle="1" w:styleId="normal-bullit3">
    <w:name w:val="normal - bullit 3"/>
    <w:basedOn w:val="normal-bullit2"/>
    <w:rsid w:val="005A3550"/>
    <w:pPr>
      <w:numPr>
        <w:ilvl w:val="2"/>
      </w:numPr>
    </w:pPr>
    <w:rPr>
      <w:sz w:val="18"/>
    </w:rPr>
  </w:style>
  <w:style w:type="paragraph" w:customStyle="1" w:styleId="normal-bullit4">
    <w:name w:val="normal - bullit 4"/>
    <w:basedOn w:val="normal-bullit3"/>
    <w:rsid w:val="005A3550"/>
    <w:pPr>
      <w:numPr>
        <w:ilvl w:val="3"/>
      </w:numPr>
    </w:pPr>
  </w:style>
  <w:style w:type="paragraph" w:customStyle="1" w:styleId="Normal-callouttext">
    <w:name w:val="Normal - callout text"/>
    <w:basedOn w:val="Normal"/>
    <w:rsid w:val="005A3550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/>
      <w:ind w:left="720" w:right="720"/>
      <w:contextualSpacing/>
    </w:pPr>
  </w:style>
  <w:style w:type="paragraph" w:customStyle="1" w:styleId="normal-fieldlabel">
    <w:name w:val="normal - field label"/>
    <w:basedOn w:val="Normal"/>
    <w:autoRedefine/>
    <w:rsid w:val="005A3550"/>
    <w:pPr>
      <w:keepLines/>
      <w:spacing w:after="60" w:line="200" w:lineRule="exact"/>
      <w:jc w:val="right"/>
    </w:pPr>
    <w:rPr>
      <w:sz w:val="18"/>
      <w:szCs w:val="18"/>
    </w:rPr>
  </w:style>
  <w:style w:type="paragraph" w:customStyle="1" w:styleId="normal-small-note">
    <w:name w:val="normal - small - note"/>
    <w:basedOn w:val="Normal"/>
    <w:rsid w:val="005A3550"/>
    <w:pPr>
      <w:keepLines/>
      <w:spacing w:line="240" w:lineRule="auto"/>
    </w:pPr>
    <w:rPr>
      <w:rFonts w:cs="Arial"/>
      <w:i/>
      <w:iCs/>
      <w:color w:val="808080"/>
      <w:kern w:val="16"/>
      <w:sz w:val="18"/>
      <w:szCs w:val="18"/>
    </w:rPr>
  </w:style>
  <w:style w:type="paragraph" w:customStyle="1" w:styleId="normal-fieldlabel-note">
    <w:name w:val="normal - field label - note"/>
    <w:basedOn w:val="normal-small-note"/>
    <w:autoRedefine/>
    <w:qFormat/>
    <w:rsid w:val="005A3550"/>
    <w:pPr>
      <w:spacing w:after="0"/>
      <w:jc w:val="right"/>
    </w:pPr>
    <w:rPr>
      <w:kern w:val="0"/>
    </w:rPr>
  </w:style>
  <w:style w:type="paragraph" w:customStyle="1" w:styleId="Normal-Input">
    <w:name w:val="Normal - Input"/>
    <w:basedOn w:val="Normal"/>
    <w:autoRedefine/>
    <w:rsid w:val="005A3550"/>
    <w:pPr>
      <w:keepLines/>
      <w:spacing w:after="0" w:line="220" w:lineRule="exact"/>
      <w:ind w:left="274" w:hanging="274"/>
    </w:pPr>
    <w:rPr>
      <w:rFonts w:ascii="Verdana" w:hAnsi="Verdana"/>
      <w:color w:val="1010BC"/>
      <w:kern w:val="18"/>
      <w:sz w:val="18"/>
      <w:szCs w:val="18"/>
      <w:u w:val="dotted" w:color="0066CC"/>
    </w:rPr>
  </w:style>
  <w:style w:type="paragraph" w:customStyle="1" w:styleId="Normal-Input-Indented">
    <w:name w:val="Normal - Input - Indented"/>
    <w:basedOn w:val="Normal-Input"/>
    <w:qFormat/>
    <w:rsid w:val="005A3550"/>
    <w:pPr>
      <w:ind w:left="612"/>
    </w:pPr>
  </w:style>
  <w:style w:type="paragraph" w:customStyle="1" w:styleId="normal-note">
    <w:name w:val="normal - note"/>
    <w:basedOn w:val="Normal"/>
    <w:rsid w:val="005A3550"/>
    <w:pPr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432"/>
    </w:pPr>
    <w:rPr>
      <w:rFonts w:cs="Arial"/>
      <w:i/>
      <w:iCs/>
    </w:rPr>
  </w:style>
  <w:style w:type="paragraph" w:customStyle="1" w:styleId="normal-number1">
    <w:name w:val="normal - number 1"/>
    <w:basedOn w:val="Normal"/>
    <w:rsid w:val="005A3550"/>
    <w:pPr>
      <w:numPr>
        <w:numId w:val="8"/>
      </w:numPr>
      <w:contextualSpacing/>
    </w:pPr>
    <w:rPr>
      <w:sz w:val="20"/>
    </w:rPr>
  </w:style>
  <w:style w:type="paragraph" w:customStyle="1" w:styleId="normal-number2">
    <w:name w:val="normal - number 2"/>
    <w:basedOn w:val="normal-number1"/>
    <w:rsid w:val="005A3550"/>
    <w:pPr>
      <w:numPr>
        <w:numId w:val="9"/>
      </w:numPr>
    </w:pPr>
  </w:style>
  <w:style w:type="paragraph" w:customStyle="1" w:styleId="normal-number3">
    <w:name w:val="normal - number 3"/>
    <w:basedOn w:val="normal-number2"/>
    <w:rsid w:val="005A3550"/>
    <w:pPr>
      <w:numPr>
        <w:numId w:val="0"/>
      </w:numPr>
    </w:pPr>
    <w:rPr>
      <w:sz w:val="18"/>
      <w:szCs w:val="18"/>
    </w:rPr>
  </w:style>
  <w:style w:type="paragraph" w:customStyle="1" w:styleId="normal-picture">
    <w:name w:val="normal - picture"/>
    <w:basedOn w:val="Normal"/>
    <w:next w:val="Normal"/>
    <w:qFormat/>
    <w:rsid w:val="005A3550"/>
    <w:pPr>
      <w:spacing w:before="240"/>
      <w:jc w:val="center"/>
    </w:pPr>
    <w:rPr>
      <w:rFonts w:ascii="News Gothic MT" w:hAnsi="News Gothic MT"/>
      <w:spacing w:val="-12"/>
      <w:kern w:val="16"/>
    </w:rPr>
  </w:style>
  <w:style w:type="paragraph" w:customStyle="1" w:styleId="normal-picturetitle">
    <w:name w:val="normal - picture title"/>
    <w:basedOn w:val="normal-picture"/>
    <w:next w:val="Normal"/>
    <w:qFormat/>
    <w:rsid w:val="005A3550"/>
    <w:pPr>
      <w:spacing w:before="0" w:after="240"/>
      <w:contextualSpacing/>
    </w:pPr>
    <w:rPr>
      <w:b/>
      <w:color w:val="4A442A"/>
      <w:sz w:val="18"/>
    </w:rPr>
  </w:style>
  <w:style w:type="paragraph" w:customStyle="1" w:styleId="normal-singlespaced">
    <w:name w:val="normal - singlespaced"/>
    <w:basedOn w:val="Normal"/>
    <w:rsid w:val="005A3550"/>
    <w:pPr>
      <w:tabs>
        <w:tab w:val="left" w:pos="1440"/>
      </w:tabs>
    </w:pPr>
    <w:rPr>
      <w:rFonts w:cs="Arial"/>
    </w:rPr>
  </w:style>
  <w:style w:type="paragraph" w:customStyle="1" w:styleId="Normal-small">
    <w:name w:val="Normal - small"/>
    <w:basedOn w:val="Normal"/>
    <w:rsid w:val="005A3550"/>
    <w:pPr>
      <w:spacing w:line="240" w:lineRule="exact"/>
    </w:pPr>
    <w:rPr>
      <w:sz w:val="20"/>
    </w:rPr>
  </w:style>
  <w:style w:type="paragraph" w:customStyle="1" w:styleId="normal-tablelable">
    <w:name w:val="normal - table lable"/>
    <w:basedOn w:val="Normal"/>
    <w:rsid w:val="005A3550"/>
    <w:pPr>
      <w:spacing w:before="120" w:after="0" w:line="240" w:lineRule="auto"/>
      <w:jc w:val="center"/>
    </w:pPr>
    <w:rPr>
      <w:b/>
      <w:sz w:val="16"/>
      <w:szCs w:val="16"/>
    </w:rPr>
  </w:style>
  <w:style w:type="paragraph" w:styleId="TOC1">
    <w:name w:val="toc 1"/>
    <w:basedOn w:val="Normal"/>
    <w:next w:val="Normal"/>
    <w:uiPriority w:val="39"/>
    <w:rsid w:val="005A3550"/>
    <w:pPr>
      <w:keepNext/>
      <w:tabs>
        <w:tab w:val="right" w:pos="10080"/>
      </w:tabs>
      <w:spacing w:before="80"/>
      <w:ind w:left="720" w:right="720"/>
    </w:pPr>
    <w:rPr>
      <w:noProof/>
    </w:rPr>
  </w:style>
  <w:style w:type="paragraph" w:styleId="TOC2">
    <w:name w:val="toc 2"/>
    <w:basedOn w:val="Normal"/>
    <w:next w:val="Normal"/>
    <w:uiPriority w:val="39"/>
    <w:rsid w:val="005A3550"/>
    <w:pPr>
      <w:keepLines/>
      <w:tabs>
        <w:tab w:val="right" w:leader="dot" w:pos="9900"/>
      </w:tabs>
      <w:ind w:left="1080" w:right="900"/>
    </w:pPr>
    <w:rPr>
      <w:noProof/>
      <w:sz w:val="18"/>
    </w:rPr>
  </w:style>
  <w:style w:type="paragraph" w:styleId="TOC3">
    <w:name w:val="toc 3"/>
    <w:basedOn w:val="Normal"/>
    <w:next w:val="Normal"/>
    <w:uiPriority w:val="39"/>
    <w:rsid w:val="005A3550"/>
    <w:pPr>
      <w:keepLines/>
      <w:tabs>
        <w:tab w:val="right" w:leader="dot" w:pos="9900"/>
      </w:tabs>
      <w:ind w:left="1440" w:right="900"/>
    </w:pPr>
    <w:rPr>
      <w:noProof/>
      <w:sz w:val="16"/>
    </w:rPr>
  </w:style>
  <w:style w:type="paragraph" w:styleId="TOC4">
    <w:name w:val="toc 4"/>
    <w:basedOn w:val="Normal"/>
    <w:next w:val="Normal"/>
    <w:autoRedefine/>
    <w:uiPriority w:val="39"/>
    <w:rsid w:val="005A3550"/>
    <w:pPr>
      <w:ind w:left="600"/>
    </w:pPr>
  </w:style>
  <w:style w:type="paragraph" w:styleId="TOC5">
    <w:name w:val="toc 5"/>
    <w:basedOn w:val="Normal"/>
    <w:next w:val="Normal"/>
    <w:autoRedefine/>
    <w:uiPriority w:val="39"/>
    <w:rsid w:val="005A3550"/>
    <w:pPr>
      <w:ind w:left="800"/>
    </w:pPr>
  </w:style>
  <w:style w:type="paragraph" w:styleId="TOC6">
    <w:name w:val="toc 6"/>
    <w:basedOn w:val="Normal"/>
    <w:next w:val="Normal"/>
    <w:autoRedefine/>
    <w:uiPriority w:val="39"/>
    <w:rsid w:val="005A3550"/>
    <w:pPr>
      <w:ind w:left="1000"/>
    </w:pPr>
  </w:style>
  <w:style w:type="paragraph" w:styleId="TOC7">
    <w:name w:val="toc 7"/>
    <w:basedOn w:val="Normal"/>
    <w:next w:val="Normal"/>
    <w:autoRedefine/>
    <w:uiPriority w:val="39"/>
    <w:rsid w:val="005A3550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5A3550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5A3550"/>
    <w:pPr>
      <w:ind w:left="1600"/>
    </w:pPr>
  </w:style>
  <w:style w:type="paragraph" w:styleId="TOCHeading">
    <w:name w:val="TOC Heading"/>
    <w:basedOn w:val="Heading1"/>
    <w:next w:val="Normal"/>
    <w:uiPriority w:val="39"/>
    <w:qFormat/>
    <w:rsid w:val="005A3550"/>
    <w:pPr>
      <w:keepLines/>
      <w:spacing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FE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FEE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96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5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1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79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77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69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97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5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80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86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446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502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2660</Words>
  <Characters>15162</Characters>
  <Application>Microsoft Macintosh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Medical Center &amp; School of Medicine</Company>
  <LinksUpToDate>false</LinksUpToDate>
  <CharactersWithSpaces>17787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Diccianni</dc:creator>
  <cp:keywords/>
  <dc:description/>
  <cp:lastModifiedBy>Microsoft Office User</cp:lastModifiedBy>
  <cp:revision>3</cp:revision>
  <cp:lastPrinted>2010-11-17T13:34:00Z</cp:lastPrinted>
  <dcterms:created xsi:type="dcterms:W3CDTF">2018-12-12T13:46:00Z</dcterms:created>
  <dcterms:modified xsi:type="dcterms:W3CDTF">2019-01-11T19:55:00Z</dcterms:modified>
</cp:coreProperties>
</file>